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E15FA" w14:textId="77777777" w:rsidR="0051362E" w:rsidRPr="006319C6" w:rsidRDefault="0051362E" w:rsidP="006319C6">
      <w:pPr>
        <w:rPr>
          <w:rFonts w:ascii="Bookman Old Style" w:eastAsia="Times New Roman" w:hAnsi="Bookman Old Style" w:cs="Times New Roman"/>
          <w:b/>
          <w:bCs/>
          <w:sz w:val="28"/>
          <w:szCs w:val="28"/>
          <w:shd w:val="clear" w:color="auto" w:fill="FFFFFF"/>
          <w:lang w:val="en-GB"/>
        </w:rPr>
      </w:pPr>
      <w:bookmarkStart w:id="0" w:name="_GoBack"/>
      <w:bookmarkEnd w:id="0"/>
      <w:r w:rsidRPr="006319C6">
        <w:rPr>
          <w:rFonts w:ascii="Bookman Old Style" w:eastAsia="Times New Roman" w:hAnsi="Bookman Old Style" w:cs="Times New Roman"/>
          <w:b/>
          <w:bCs/>
          <w:sz w:val="28"/>
          <w:szCs w:val="28"/>
          <w:shd w:val="clear" w:color="auto" w:fill="FFFFFF"/>
          <w:lang w:val="en-GB"/>
        </w:rPr>
        <w:t>Published in:</w:t>
      </w:r>
    </w:p>
    <w:p w14:paraId="3887015F" w14:textId="77777777" w:rsidR="0051362E" w:rsidRPr="006319C6" w:rsidRDefault="0051362E" w:rsidP="0051362E">
      <w:pPr>
        <w:rPr>
          <w:rFonts w:ascii="Bookman Old Style" w:eastAsia="Times New Roman" w:hAnsi="Bookman Old Style" w:cs="Times New Roman"/>
          <w:b/>
          <w:bCs/>
          <w:color w:val="222222"/>
          <w:sz w:val="28"/>
          <w:szCs w:val="28"/>
          <w:lang w:val="en-GB"/>
        </w:rPr>
      </w:pPr>
      <w:r w:rsidRPr="006319C6">
        <w:rPr>
          <w:rFonts w:ascii="Bookman Old Style" w:eastAsia="Times New Roman" w:hAnsi="Bookman Old Style" w:cs="Times New Roman"/>
          <w:b/>
          <w:bCs/>
          <w:color w:val="222222"/>
          <w:sz w:val="28"/>
          <w:szCs w:val="28"/>
          <w:lang w:val="en-GB"/>
        </w:rPr>
        <w:t xml:space="preserve">The </w:t>
      </w:r>
      <w:proofErr w:type="spellStart"/>
      <w:r w:rsidRPr="006319C6">
        <w:rPr>
          <w:rFonts w:ascii="Bookman Old Style" w:eastAsia="Times New Roman" w:hAnsi="Bookman Old Style" w:cs="Times New Roman"/>
          <w:b/>
          <w:bCs/>
          <w:color w:val="222222"/>
          <w:sz w:val="28"/>
          <w:szCs w:val="28"/>
          <w:lang w:val="en-GB"/>
        </w:rPr>
        <w:t>Jurnal</w:t>
      </w:r>
      <w:proofErr w:type="spellEnd"/>
      <w:r w:rsidRPr="006319C6">
        <w:rPr>
          <w:rFonts w:ascii="Bookman Old Style" w:eastAsia="Times New Roman" w:hAnsi="Bookman Old Style" w:cs="Times New Roman"/>
          <w:b/>
          <w:bCs/>
          <w:color w:val="222222"/>
          <w:sz w:val="28"/>
          <w:szCs w:val="28"/>
          <w:lang w:val="en-GB"/>
        </w:rPr>
        <w:t xml:space="preserve"> of Comparative Law</w:t>
      </w:r>
    </w:p>
    <w:p w14:paraId="160BD956" w14:textId="39F575EC" w:rsidR="0051362E" w:rsidRPr="006319C6" w:rsidRDefault="0051362E" w:rsidP="0051362E">
      <w:pPr>
        <w:rPr>
          <w:rFonts w:ascii="Bookman Old Style" w:eastAsia="Times New Roman" w:hAnsi="Bookman Old Style" w:cs="Times New Roman"/>
          <w:b/>
          <w:bCs/>
          <w:color w:val="222222"/>
          <w:sz w:val="28"/>
          <w:szCs w:val="28"/>
          <w:lang w:val="en-GB"/>
        </w:rPr>
      </w:pPr>
      <w:r w:rsidRPr="006319C6">
        <w:rPr>
          <w:rFonts w:ascii="Bookman Old Style" w:eastAsia="Times New Roman" w:hAnsi="Bookman Old Style" w:cs="Times New Roman"/>
          <w:b/>
          <w:bCs/>
          <w:color w:val="222222"/>
          <w:sz w:val="28"/>
          <w:szCs w:val="28"/>
          <w:lang w:val="en-GB"/>
        </w:rPr>
        <w:t>Volume XII, Issue One</w:t>
      </w:r>
    </w:p>
    <w:p w14:paraId="5D9020CD" w14:textId="5F9D88CA" w:rsidR="0051362E" w:rsidRPr="006319C6" w:rsidRDefault="0051362E" w:rsidP="0051362E">
      <w:pPr>
        <w:rPr>
          <w:rFonts w:ascii="Bookman Old Style" w:eastAsia="Times New Roman" w:hAnsi="Bookman Old Style" w:cs="Times New Roman"/>
          <w:color w:val="222222"/>
          <w:sz w:val="28"/>
          <w:szCs w:val="28"/>
          <w:lang w:val="en-GB"/>
        </w:rPr>
      </w:pPr>
      <w:r w:rsidRPr="006319C6">
        <w:rPr>
          <w:rFonts w:ascii="Bookman Old Style" w:eastAsia="Times New Roman" w:hAnsi="Bookman Old Style" w:cs="Times New Roman"/>
          <w:b/>
          <w:bCs/>
          <w:color w:val="222222"/>
          <w:sz w:val="28"/>
          <w:szCs w:val="28"/>
          <w:lang w:val="en-GB"/>
        </w:rPr>
        <w:t>ISSN: </w:t>
      </w:r>
      <w:r w:rsidRPr="006319C6">
        <w:rPr>
          <w:rFonts w:ascii="Bookman Old Style" w:eastAsia="Times New Roman" w:hAnsi="Bookman Old Style" w:cs="Times New Roman"/>
          <w:color w:val="222222"/>
          <w:sz w:val="28"/>
          <w:szCs w:val="28"/>
          <w:lang w:val="en-GB"/>
        </w:rPr>
        <w:t>1477-0814</w:t>
      </w:r>
    </w:p>
    <w:p w14:paraId="7D474D35" w14:textId="77777777" w:rsidR="0051362E" w:rsidRPr="006319C6" w:rsidRDefault="0051362E" w:rsidP="0051362E">
      <w:pPr>
        <w:rPr>
          <w:rFonts w:ascii="Bookman Old Style" w:eastAsia="Times New Roman" w:hAnsi="Bookman Old Style" w:cs="Times New Roman"/>
          <w:color w:val="222222"/>
          <w:sz w:val="28"/>
          <w:szCs w:val="28"/>
          <w:lang w:val="en-GB"/>
        </w:rPr>
      </w:pPr>
      <w:r w:rsidRPr="006319C6">
        <w:rPr>
          <w:rFonts w:ascii="Bookman Old Style" w:eastAsia="Times New Roman" w:hAnsi="Bookman Old Style" w:cs="Times New Roman"/>
          <w:b/>
          <w:bCs/>
          <w:color w:val="222222"/>
          <w:sz w:val="28"/>
          <w:szCs w:val="28"/>
          <w:lang w:val="en-GB"/>
        </w:rPr>
        <w:t>Latest Release: </w:t>
      </w:r>
      <w:r w:rsidRPr="006319C6">
        <w:rPr>
          <w:rFonts w:ascii="Bookman Old Style" w:eastAsia="Times New Roman" w:hAnsi="Bookman Old Style" w:cs="Times New Roman"/>
          <w:color w:val="222222"/>
          <w:sz w:val="28"/>
          <w:szCs w:val="28"/>
          <w:lang w:val="en-GB"/>
        </w:rPr>
        <w:t>June 26, 2018</w:t>
      </w:r>
    </w:p>
    <w:p w14:paraId="3369EA4F" w14:textId="77777777" w:rsidR="0051362E" w:rsidRPr="006319C6" w:rsidRDefault="0051362E" w:rsidP="0051362E">
      <w:pPr>
        <w:rPr>
          <w:rFonts w:ascii="Bookman Old Style" w:eastAsia="Times New Roman" w:hAnsi="Bookman Old Style" w:cs="Times New Roman"/>
          <w:color w:val="222222"/>
          <w:sz w:val="28"/>
          <w:szCs w:val="28"/>
          <w:lang w:val="en-GB"/>
        </w:rPr>
      </w:pPr>
      <w:r w:rsidRPr="006319C6">
        <w:rPr>
          <w:rFonts w:ascii="Bookman Old Style" w:eastAsia="Times New Roman" w:hAnsi="Bookman Old Style" w:cs="Times New Roman"/>
          <w:b/>
          <w:bCs/>
          <w:color w:val="222222"/>
          <w:sz w:val="28"/>
          <w:szCs w:val="28"/>
          <w:lang w:val="en-GB"/>
        </w:rPr>
        <w:t>Publisher: </w:t>
      </w:r>
      <w:proofErr w:type="spellStart"/>
      <w:r w:rsidRPr="006319C6">
        <w:rPr>
          <w:rFonts w:ascii="Bookman Old Style" w:eastAsia="Times New Roman" w:hAnsi="Bookman Old Style" w:cs="Times New Roman"/>
          <w:color w:val="222222"/>
          <w:sz w:val="28"/>
          <w:szCs w:val="28"/>
          <w:lang w:val="en-GB"/>
        </w:rPr>
        <w:t>Wildy</w:t>
      </w:r>
      <w:proofErr w:type="spellEnd"/>
      <w:r w:rsidRPr="006319C6">
        <w:rPr>
          <w:rFonts w:ascii="Bookman Old Style" w:eastAsia="Times New Roman" w:hAnsi="Bookman Old Style" w:cs="Times New Roman"/>
          <w:color w:val="222222"/>
          <w:sz w:val="28"/>
          <w:szCs w:val="28"/>
          <w:lang w:val="en-GB"/>
        </w:rPr>
        <w:t>, Simmonds and Hill Publishing</w:t>
      </w:r>
    </w:p>
    <w:p w14:paraId="26D492AE" w14:textId="77777777" w:rsidR="00840DEC" w:rsidRPr="006319C6" w:rsidRDefault="0051362E" w:rsidP="00840DEC">
      <w:pPr>
        <w:rPr>
          <w:rFonts w:ascii="Bookman Old Style" w:eastAsia="Times New Roman" w:hAnsi="Bookman Old Style" w:cs="Times New Roman"/>
          <w:color w:val="222222"/>
          <w:sz w:val="28"/>
          <w:szCs w:val="28"/>
          <w:lang w:val="en-GB"/>
        </w:rPr>
      </w:pPr>
      <w:r w:rsidRPr="006319C6">
        <w:rPr>
          <w:rFonts w:ascii="Bookman Old Style" w:eastAsia="Times New Roman" w:hAnsi="Bookman Old Style" w:cs="Times New Roman"/>
          <w:b/>
          <w:bCs/>
          <w:color w:val="222222"/>
          <w:sz w:val="28"/>
          <w:szCs w:val="28"/>
          <w:lang w:val="en-GB"/>
        </w:rPr>
        <w:t>Country of Publication: </w:t>
      </w:r>
      <w:r w:rsidRPr="006319C6">
        <w:rPr>
          <w:rFonts w:ascii="Bookman Old Style" w:eastAsia="Times New Roman" w:hAnsi="Bookman Old Style" w:cs="Times New Roman"/>
          <w:color w:val="222222"/>
          <w:sz w:val="28"/>
          <w:szCs w:val="28"/>
          <w:lang w:val="en-GB"/>
        </w:rPr>
        <w:t>UK</w:t>
      </w:r>
    </w:p>
    <w:p w14:paraId="16E6964C" w14:textId="04901B40" w:rsidR="0051362E" w:rsidRPr="006319C6" w:rsidRDefault="00840DEC" w:rsidP="00840DEC">
      <w:pPr>
        <w:rPr>
          <w:rFonts w:ascii="Bookman Old Style" w:eastAsia="Times New Roman" w:hAnsi="Bookman Old Style" w:cs="Times New Roman"/>
          <w:color w:val="222222"/>
          <w:sz w:val="28"/>
          <w:szCs w:val="28"/>
          <w:lang w:val="en-GB"/>
        </w:rPr>
      </w:pPr>
      <w:r w:rsidRPr="006319C6">
        <w:rPr>
          <w:rFonts w:ascii="Bookman Old Style" w:eastAsia="Times New Roman" w:hAnsi="Bookman Old Style" w:cs="Times New Roman"/>
          <w:b/>
          <w:bCs/>
          <w:sz w:val="28"/>
          <w:szCs w:val="28"/>
          <w:shd w:val="clear" w:color="auto" w:fill="FFFFFF"/>
          <w:lang w:val="en-GB"/>
        </w:rPr>
        <w:t>pp.</w:t>
      </w:r>
      <w:r w:rsidR="00D435DA" w:rsidRPr="006319C6">
        <w:rPr>
          <w:rFonts w:ascii="Bookman Old Style" w:eastAsia="Times New Roman" w:hAnsi="Bookman Old Style" w:cs="Times New Roman"/>
          <w:b/>
          <w:bCs/>
          <w:sz w:val="28"/>
          <w:szCs w:val="28"/>
          <w:shd w:val="clear" w:color="auto" w:fill="FFFFFF"/>
          <w:lang w:val="en-GB"/>
        </w:rPr>
        <w:t xml:space="preserve"> </w:t>
      </w:r>
      <w:r w:rsidRPr="006319C6">
        <w:rPr>
          <w:rFonts w:ascii="Bookman Old Style" w:eastAsia="Times New Roman" w:hAnsi="Bookman Old Style" w:cs="Times New Roman"/>
          <w:bCs/>
          <w:sz w:val="28"/>
          <w:szCs w:val="28"/>
          <w:shd w:val="clear" w:color="auto" w:fill="FFFFFF"/>
          <w:lang w:val="en-GB"/>
        </w:rPr>
        <w:t>61-82</w:t>
      </w:r>
    </w:p>
    <w:p w14:paraId="2720A3EC" w14:textId="77777777" w:rsidR="0051362E" w:rsidRPr="006319C6" w:rsidRDefault="0051362E" w:rsidP="00A9165D">
      <w:pPr>
        <w:jc w:val="center"/>
        <w:rPr>
          <w:rFonts w:ascii="Bookman Old Style" w:eastAsia="Times New Roman" w:hAnsi="Bookman Old Style" w:cs="Times New Roman"/>
          <w:b/>
          <w:bCs/>
          <w:sz w:val="28"/>
          <w:szCs w:val="28"/>
          <w:shd w:val="clear" w:color="auto" w:fill="FFFFFF"/>
          <w:lang w:val="en-GB"/>
        </w:rPr>
      </w:pPr>
    </w:p>
    <w:p w14:paraId="105ABF80" w14:textId="77777777" w:rsidR="0051362E" w:rsidRPr="006319C6" w:rsidRDefault="0051362E" w:rsidP="00A9165D">
      <w:pPr>
        <w:jc w:val="center"/>
        <w:rPr>
          <w:rFonts w:ascii="Bookman Old Style" w:eastAsia="Times New Roman" w:hAnsi="Bookman Old Style" w:cs="Times New Roman"/>
          <w:b/>
          <w:bCs/>
          <w:sz w:val="28"/>
          <w:szCs w:val="28"/>
          <w:shd w:val="clear" w:color="auto" w:fill="FFFFFF"/>
          <w:lang w:val="en-GB"/>
        </w:rPr>
      </w:pPr>
    </w:p>
    <w:p w14:paraId="04715D2E" w14:textId="77777777" w:rsidR="0051362E" w:rsidRPr="006319C6" w:rsidRDefault="0051362E" w:rsidP="00A9165D">
      <w:pPr>
        <w:jc w:val="center"/>
        <w:rPr>
          <w:rFonts w:ascii="Bookman Old Style" w:eastAsia="Times New Roman" w:hAnsi="Bookman Old Style" w:cs="Times New Roman"/>
          <w:b/>
          <w:bCs/>
          <w:sz w:val="28"/>
          <w:szCs w:val="28"/>
          <w:shd w:val="clear" w:color="auto" w:fill="FFFFFF"/>
          <w:lang w:val="en-GB"/>
        </w:rPr>
      </w:pPr>
    </w:p>
    <w:p w14:paraId="0C1072B9" w14:textId="77777777" w:rsidR="0051362E" w:rsidRPr="006319C6" w:rsidRDefault="0051362E" w:rsidP="00A9165D">
      <w:pPr>
        <w:jc w:val="center"/>
        <w:rPr>
          <w:rFonts w:ascii="Bookman Old Style" w:eastAsia="Times New Roman" w:hAnsi="Bookman Old Style" w:cs="Times New Roman"/>
          <w:b/>
          <w:bCs/>
          <w:sz w:val="28"/>
          <w:szCs w:val="28"/>
          <w:shd w:val="clear" w:color="auto" w:fill="FFFFFF"/>
          <w:lang w:val="en-GB"/>
        </w:rPr>
      </w:pPr>
    </w:p>
    <w:p w14:paraId="15770B6D"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2FE0036"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355AC028"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758A7C45"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5CCE56AE"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72E0358A"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E72D14B"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35D3DBED"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BA8D6FC"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374C4AC1"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04DC935A"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D0D90E1"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2C7BCF85"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24D4FB9B"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9C53E6E"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3EF8C2A0"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684F4499"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44077E91"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6E8F6A79"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0EF49015"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57482D4D"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06FEBB3E"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7561EBF2"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48A5AC7B"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6D6D768"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4B1279C3"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ED60489"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378B551"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8D0AB16"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840297C"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70844041"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CA1DF06"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08F5A1C1"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524B21E8"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2760B559"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4419D8AB"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2E9A00F2"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6523222C"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13C51456"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0AA9E30A" w14:textId="77777777" w:rsidR="00840DEC" w:rsidRPr="006319C6" w:rsidRDefault="00840DEC" w:rsidP="00A9165D">
      <w:pPr>
        <w:jc w:val="center"/>
        <w:rPr>
          <w:rFonts w:ascii="Bookman Old Style" w:eastAsia="Times New Roman" w:hAnsi="Bookman Old Style" w:cs="Times New Roman"/>
          <w:b/>
          <w:bCs/>
          <w:sz w:val="28"/>
          <w:szCs w:val="28"/>
          <w:shd w:val="clear" w:color="auto" w:fill="FFFFFF"/>
          <w:lang w:val="en-GB"/>
        </w:rPr>
      </w:pPr>
    </w:p>
    <w:p w14:paraId="5770FD5F" w14:textId="52D5FAF5" w:rsidR="001B07B1" w:rsidRPr="006319C6" w:rsidRDefault="00097564" w:rsidP="00A9165D">
      <w:pPr>
        <w:jc w:val="center"/>
        <w:rPr>
          <w:rFonts w:ascii="Bookman Old Style" w:eastAsia="Times New Roman" w:hAnsi="Bookman Old Style" w:cs="Times New Roman"/>
          <w:b/>
          <w:bCs/>
          <w:sz w:val="28"/>
          <w:szCs w:val="28"/>
          <w:shd w:val="clear" w:color="auto" w:fill="FFFFFF"/>
          <w:lang w:val="en-GB"/>
        </w:rPr>
      </w:pPr>
      <w:r w:rsidRPr="006319C6">
        <w:rPr>
          <w:rFonts w:ascii="Bookman Old Style" w:eastAsia="Times New Roman" w:hAnsi="Bookman Old Style" w:cs="Times New Roman"/>
          <w:b/>
          <w:bCs/>
          <w:sz w:val="28"/>
          <w:szCs w:val="28"/>
          <w:shd w:val="clear" w:color="auto" w:fill="FFFFFF"/>
          <w:lang w:val="en-GB"/>
        </w:rPr>
        <w:t>In Search for Truth at Mass Atrocities Trials:</w:t>
      </w:r>
    </w:p>
    <w:p w14:paraId="4491AB9F" w14:textId="600320E9" w:rsidR="003402BD" w:rsidRPr="006319C6" w:rsidRDefault="001B07B1" w:rsidP="00A9165D">
      <w:pPr>
        <w:jc w:val="center"/>
        <w:rPr>
          <w:rFonts w:ascii="Bookman Old Style" w:eastAsia="Times New Roman" w:hAnsi="Bookman Old Style" w:cs="Times New Roman"/>
          <w:b/>
          <w:bCs/>
          <w:sz w:val="28"/>
          <w:szCs w:val="28"/>
          <w:lang w:val="en-GB"/>
        </w:rPr>
      </w:pPr>
      <w:r w:rsidRPr="006319C6">
        <w:rPr>
          <w:rFonts w:ascii="Bookman Old Style" w:eastAsia="Times New Roman" w:hAnsi="Bookman Old Style" w:cs="Times New Roman"/>
          <w:b/>
          <w:bCs/>
          <w:sz w:val="28"/>
          <w:szCs w:val="28"/>
          <w:shd w:val="clear" w:color="auto" w:fill="FFFFFF"/>
          <w:lang w:val="en-GB"/>
        </w:rPr>
        <w:t xml:space="preserve">Will Judges and Lawyers </w:t>
      </w:r>
      <w:r w:rsidR="00154A49" w:rsidRPr="006319C6">
        <w:rPr>
          <w:rFonts w:ascii="Bookman Old Style" w:eastAsia="Times New Roman" w:hAnsi="Bookman Old Style" w:cs="Times New Roman"/>
          <w:b/>
          <w:bCs/>
          <w:sz w:val="28"/>
          <w:szCs w:val="28"/>
          <w:shd w:val="clear" w:color="auto" w:fill="FFFFFF"/>
          <w:lang w:val="en-GB"/>
        </w:rPr>
        <w:t>H</w:t>
      </w:r>
      <w:r w:rsidRPr="006319C6">
        <w:rPr>
          <w:rFonts w:ascii="Bookman Old Style" w:eastAsia="Times New Roman" w:hAnsi="Bookman Old Style" w:cs="Times New Roman"/>
          <w:b/>
          <w:bCs/>
          <w:sz w:val="28"/>
          <w:szCs w:val="28"/>
          <w:shd w:val="clear" w:color="auto" w:fill="FFFFFF"/>
          <w:lang w:val="en-GB"/>
        </w:rPr>
        <w:t>ave the Last Word?</w:t>
      </w:r>
    </w:p>
    <w:p w14:paraId="1D6245B1" w14:textId="77777777" w:rsidR="00154A49" w:rsidRPr="006319C6" w:rsidRDefault="00154A49" w:rsidP="00BB6DB9">
      <w:pPr>
        <w:shd w:val="clear" w:color="auto" w:fill="FFFFFF" w:themeFill="background1"/>
        <w:spacing w:line="360" w:lineRule="auto"/>
        <w:jc w:val="center"/>
        <w:rPr>
          <w:rFonts w:ascii="Bookman Old Style" w:eastAsia="Times New Roman" w:hAnsi="Bookman Old Style" w:cs="Times New Roman"/>
          <w:b/>
          <w:bCs/>
          <w:sz w:val="28"/>
          <w:szCs w:val="28"/>
          <w:lang w:val="en-GB" w:eastAsia="it-IT"/>
        </w:rPr>
      </w:pPr>
    </w:p>
    <w:p w14:paraId="60ABD724" w14:textId="3650B55C" w:rsidR="003402BD" w:rsidRPr="006319C6" w:rsidRDefault="00A9165D" w:rsidP="00A9165D">
      <w:pPr>
        <w:shd w:val="clear" w:color="auto" w:fill="FFFFFF" w:themeFill="background1"/>
        <w:jc w:val="center"/>
        <w:rPr>
          <w:rFonts w:ascii="Bookman Old Style" w:eastAsia="Times New Roman" w:hAnsi="Bookman Old Style" w:cs="Times New Roman"/>
          <w:bCs/>
          <w:sz w:val="28"/>
          <w:szCs w:val="28"/>
          <w:lang w:val="nl-NL" w:eastAsia="it-IT"/>
        </w:rPr>
      </w:pPr>
      <w:proofErr w:type="spellStart"/>
      <w:r w:rsidRPr="006319C6">
        <w:rPr>
          <w:rFonts w:ascii="Bookman Old Style" w:eastAsia="Times New Roman" w:hAnsi="Bookman Old Style" w:cs="Times New Roman"/>
          <w:bCs/>
          <w:sz w:val="28"/>
          <w:szCs w:val="28"/>
          <w:lang w:val="en-GB" w:eastAsia="it-IT"/>
        </w:rPr>
        <w:t>Nevenka</w:t>
      </w:r>
      <w:proofErr w:type="spellEnd"/>
      <w:r w:rsidRPr="006319C6">
        <w:rPr>
          <w:rFonts w:ascii="Bookman Old Style" w:eastAsia="Times New Roman" w:hAnsi="Bookman Old Style" w:cs="Times New Roman"/>
          <w:bCs/>
          <w:sz w:val="28"/>
          <w:szCs w:val="28"/>
          <w:lang w:val="en-GB" w:eastAsia="it-IT"/>
        </w:rPr>
        <w:t xml:space="preserve"> Tromp</w:t>
      </w:r>
      <w:r w:rsidR="00840DEC" w:rsidRPr="006319C6">
        <w:rPr>
          <w:rFonts w:ascii="Bookman Old Style" w:eastAsia="Times New Roman" w:hAnsi="Bookman Old Style" w:cs="Times New Roman"/>
          <w:bCs/>
          <w:sz w:val="28"/>
          <w:szCs w:val="28"/>
          <w:lang w:val="nl-NL" w:eastAsia="it-IT"/>
        </w:rPr>
        <w:t>*</w:t>
      </w:r>
    </w:p>
    <w:p w14:paraId="0DBFEFCD" w14:textId="6D1F158D" w:rsidR="003402BD" w:rsidRPr="006319C6" w:rsidRDefault="003402BD" w:rsidP="00A9165D">
      <w:pPr>
        <w:ind w:firstLine="720"/>
        <w:jc w:val="both"/>
        <w:rPr>
          <w:rFonts w:ascii="Bookman Old Style" w:hAnsi="Bookman Old Style" w:cs="Times New Roman"/>
          <w:i/>
          <w:sz w:val="28"/>
          <w:szCs w:val="28"/>
        </w:rPr>
      </w:pPr>
    </w:p>
    <w:p w14:paraId="175F32D0" w14:textId="7BEE8C22" w:rsidR="003402BD" w:rsidRPr="006319C6" w:rsidRDefault="003402BD" w:rsidP="00CC1447">
      <w:pPr>
        <w:ind w:firstLine="720"/>
        <w:jc w:val="both"/>
        <w:rPr>
          <w:rFonts w:ascii="Bookman Old Style" w:hAnsi="Bookman Old Style" w:cs="Times New Roman"/>
          <w:sz w:val="28"/>
          <w:szCs w:val="28"/>
        </w:rPr>
      </w:pPr>
      <w:r w:rsidRPr="006319C6">
        <w:rPr>
          <w:rFonts w:ascii="Bookman Old Style" w:eastAsia="Times New Roman" w:hAnsi="Bookman Old Style" w:cs="Times New Roman"/>
          <w:iCs/>
          <w:sz w:val="28"/>
          <w:szCs w:val="28"/>
          <w:lang w:eastAsia="en-GB"/>
        </w:rPr>
        <w:t>Mass</w:t>
      </w:r>
      <w:r w:rsidRPr="006319C6">
        <w:rPr>
          <w:rFonts w:ascii="Bookman Old Style" w:eastAsia="Times New Roman" w:hAnsi="Bookman Old Style" w:cs="Times New Roman"/>
          <w:iCs/>
          <w:color w:val="000000"/>
          <w:sz w:val="28"/>
          <w:szCs w:val="28"/>
          <w:lang w:eastAsia="en-GB"/>
        </w:rPr>
        <w:t xml:space="preserve"> atrocities trials</w:t>
      </w:r>
      <w:r w:rsidRPr="006319C6">
        <w:rPr>
          <w:rStyle w:val="FootnoteReference"/>
          <w:rFonts w:ascii="Bookman Old Style" w:eastAsia="Times New Roman" w:hAnsi="Bookman Old Style"/>
          <w:iCs/>
          <w:color w:val="000000"/>
          <w:sz w:val="28"/>
          <w:szCs w:val="28"/>
          <w:lang w:eastAsia="en-GB"/>
        </w:rPr>
        <w:footnoteReference w:id="1"/>
      </w:r>
      <w:r w:rsidRPr="006319C6">
        <w:rPr>
          <w:rFonts w:ascii="Bookman Old Style" w:eastAsia="Times New Roman" w:hAnsi="Bookman Old Style" w:cs="Times New Roman"/>
          <w:iCs/>
          <w:color w:val="000000"/>
          <w:sz w:val="28"/>
          <w:szCs w:val="28"/>
          <w:lang w:eastAsia="en-GB"/>
        </w:rPr>
        <w:t xml:space="preserve"> are like no other trials. They are held, </w:t>
      </w:r>
      <w:r w:rsidR="00FE2740" w:rsidRPr="006319C6">
        <w:rPr>
          <w:rFonts w:ascii="Bookman Old Style" w:eastAsia="Times New Roman" w:hAnsi="Bookman Old Style" w:cs="Times New Roman"/>
          <w:iCs/>
          <w:color w:val="000000"/>
          <w:sz w:val="28"/>
          <w:szCs w:val="28"/>
          <w:lang w:eastAsia="en-GB"/>
        </w:rPr>
        <w:t xml:space="preserve">just </w:t>
      </w:r>
      <w:r w:rsidRPr="006319C6">
        <w:rPr>
          <w:rFonts w:ascii="Bookman Old Style" w:eastAsia="Times New Roman" w:hAnsi="Bookman Old Style" w:cs="Times New Roman"/>
          <w:iCs/>
          <w:color w:val="000000"/>
          <w:sz w:val="28"/>
          <w:szCs w:val="28"/>
          <w:lang w:eastAsia="en-GB"/>
        </w:rPr>
        <w:t>as any other criminal trial, to deliver justice to victims, to punish perpetrators</w:t>
      </w:r>
      <w:r w:rsidR="00713D5A" w:rsidRPr="006319C6">
        <w:rPr>
          <w:rFonts w:ascii="Bookman Old Style" w:eastAsia="Times New Roman" w:hAnsi="Bookman Old Style" w:cs="Times New Roman"/>
          <w:iCs/>
          <w:color w:val="000000"/>
          <w:sz w:val="28"/>
          <w:szCs w:val="28"/>
          <w:lang w:eastAsia="en-GB"/>
        </w:rPr>
        <w:t>, to</w:t>
      </w:r>
      <w:r w:rsidRPr="006319C6">
        <w:rPr>
          <w:rFonts w:ascii="Bookman Old Style" w:eastAsia="Times New Roman" w:hAnsi="Bookman Old Style" w:cs="Times New Roman"/>
          <w:iCs/>
          <w:color w:val="000000"/>
          <w:sz w:val="28"/>
          <w:szCs w:val="28"/>
          <w:lang w:eastAsia="en-GB"/>
        </w:rPr>
        <w:t xml:space="preserve"> mete out punishment and</w:t>
      </w:r>
      <w:r w:rsidR="00154A49" w:rsidRPr="006319C6">
        <w:rPr>
          <w:rFonts w:ascii="Bookman Old Style" w:eastAsia="Times New Roman" w:hAnsi="Bookman Old Style" w:cs="Times New Roman"/>
          <w:iCs/>
          <w:color w:val="000000"/>
          <w:sz w:val="28"/>
          <w:szCs w:val="28"/>
          <w:lang w:eastAsia="en-GB"/>
        </w:rPr>
        <w:t>,</w:t>
      </w:r>
      <w:r w:rsidRPr="006319C6">
        <w:rPr>
          <w:rFonts w:ascii="Bookman Old Style" w:eastAsia="Times New Roman" w:hAnsi="Bookman Old Style" w:cs="Times New Roman"/>
          <w:iCs/>
          <w:color w:val="000000"/>
          <w:sz w:val="28"/>
          <w:szCs w:val="28"/>
          <w:lang w:eastAsia="en-GB"/>
        </w:rPr>
        <w:t xml:space="preserve"> by doing so</w:t>
      </w:r>
      <w:r w:rsidR="00154A49" w:rsidRPr="006319C6">
        <w:rPr>
          <w:rFonts w:ascii="Bookman Old Style" w:eastAsia="Times New Roman" w:hAnsi="Bookman Old Style" w:cs="Times New Roman"/>
          <w:iCs/>
          <w:color w:val="000000"/>
          <w:sz w:val="28"/>
          <w:szCs w:val="28"/>
          <w:lang w:eastAsia="en-GB"/>
        </w:rPr>
        <w:t>,</w:t>
      </w:r>
      <w:r w:rsidRPr="006319C6">
        <w:rPr>
          <w:rFonts w:ascii="Bookman Old Style" w:eastAsia="Times New Roman" w:hAnsi="Bookman Old Style" w:cs="Times New Roman"/>
          <w:iCs/>
          <w:color w:val="000000"/>
          <w:sz w:val="28"/>
          <w:szCs w:val="28"/>
          <w:lang w:eastAsia="en-GB"/>
        </w:rPr>
        <w:t xml:space="preserve"> to deter - or rather</w:t>
      </w:r>
      <w:r w:rsidR="00154A49" w:rsidRPr="006319C6">
        <w:rPr>
          <w:rFonts w:ascii="Bookman Old Style" w:eastAsia="Times New Roman" w:hAnsi="Bookman Old Style" w:cs="Times New Roman"/>
          <w:iCs/>
          <w:color w:val="000000"/>
          <w:sz w:val="28"/>
          <w:szCs w:val="28"/>
          <w:lang w:eastAsia="en-GB"/>
        </w:rPr>
        <w:t>,</w:t>
      </w:r>
      <w:r w:rsidRPr="006319C6">
        <w:rPr>
          <w:rFonts w:ascii="Bookman Old Style" w:eastAsia="Times New Roman" w:hAnsi="Bookman Old Style" w:cs="Times New Roman"/>
          <w:iCs/>
          <w:color w:val="000000"/>
          <w:sz w:val="28"/>
          <w:szCs w:val="28"/>
          <w:lang w:eastAsia="en-GB"/>
        </w:rPr>
        <w:t xml:space="preserve"> </w:t>
      </w:r>
      <w:r w:rsidR="00154A49" w:rsidRPr="006319C6">
        <w:rPr>
          <w:rFonts w:ascii="Bookman Old Style" w:eastAsia="Times New Roman" w:hAnsi="Bookman Old Style" w:cs="Times New Roman"/>
          <w:iCs/>
          <w:color w:val="000000"/>
          <w:sz w:val="28"/>
          <w:szCs w:val="28"/>
          <w:lang w:eastAsia="en-GB"/>
        </w:rPr>
        <w:t xml:space="preserve">to </w:t>
      </w:r>
      <w:r w:rsidRPr="006319C6">
        <w:rPr>
          <w:rFonts w:ascii="Bookman Old Style" w:eastAsia="Times New Roman" w:hAnsi="Bookman Old Style" w:cs="Times New Roman"/>
          <w:iCs/>
          <w:color w:val="000000"/>
          <w:sz w:val="28"/>
          <w:szCs w:val="28"/>
          <w:lang w:eastAsia="en-GB"/>
        </w:rPr>
        <w:t>control - the commission of crimes in societies. But, unlike domestic criminal trials, m</w:t>
      </w:r>
      <w:r w:rsidR="00713D5A" w:rsidRPr="006319C6">
        <w:rPr>
          <w:rFonts w:ascii="Bookman Old Style" w:eastAsia="Times New Roman" w:hAnsi="Bookman Old Style" w:cs="Times New Roman"/>
          <w:iCs/>
          <w:color w:val="000000"/>
          <w:sz w:val="28"/>
          <w:szCs w:val="28"/>
          <w:lang w:eastAsia="en-GB"/>
        </w:rPr>
        <w:t xml:space="preserve">ass atrocities trials have </w:t>
      </w:r>
      <w:r w:rsidRPr="006319C6">
        <w:rPr>
          <w:rFonts w:ascii="Bookman Old Style" w:eastAsia="Times New Roman" w:hAnsi="Bookman Old Style" w:cs="Times New Roman"/>
          <w:iCs/>
          <w:color w:val="000000"/>
          <w:sz w:val="28"/>
          <w:szCs w:val="28"/>
          <w:lang w:eastAsia="en-GB"/>
        </w:rPr>
        <w:t>been invested with expec</w:t>
      </w:r>
      <w:r w:rsidR="00713D5A" w:rsidRPr="006319C6">
        <w:rPr>
          <w:rFonts w:ascii="Bookman Old Style" w:eastAsia="Times New Roman" w:hAnsi="Bookman Old Style" w:cs="Times New Roman"/>
          <w:iCs/>
          <w:color w:val="000000"/>
          <w:sz w:val="28"/>
          <w:szCs w:val="28"/>
          <w:lang w:eastAsia="en-GB"/>
        </w:rPr>
        <w:t>tations greater than administer</w:t>
      </w:r>
      <w:r w:rsidRPr="006319C6">
        <w:rPr>
          <w:rFonts w:ascii="Bookman Old Style" w:eastAsia="Times New Roman" w:hAnsi="Bookman Old Style" w:cs="Times New Roman"/>
          <w:iCs/>
          <w:color w:val="000000"/>
          <w:sz w:val="28"/>
          <w:szCs w:val="28"/>
          <w:lang w:eastAsia="en-GB"/>
        </w:rPr>
        <w:t>ing justice and deli</w:t>
      </w:r>
      <w:r w:rsidR="00713D5A" w:rsidRPr="006319C6">
        <w:rPr>
          <w:rFonts w:ascii="Bookman Old Style" w:eastAsia="Times New Roman" w:hAnsi="Bookman Old Style" w:cs="Times New Roman"/>
          <w:iCs/>
          <w:color w:val="000000"/>
          <w:sz w:val="28"/>
          <w:szCs w:val="28"/>
          <w:lang w:eastAsia="en-GB"/>
        </w:rPr>
        <w:t xml:space="preserve">vering judgments. They are </w:t>
      </w:r>
      <w:r w:rsidRPr="006319C6">
        <w:rPr>
          <w:rFonts w:ascii="Bookman Old Style" w:eastAsia="Times New Roman" w:hAnsi="Bookman Old Style" w:cs="Times New Roman"/>
          <w:iCs/>
          <w:color w:val="000000"/>
          <w:sz w:val="28"/>
          <w:szCs w:val="28"/>
          <w:lang w:eastAsia="en-GB"/>
        </w:rPr>
        <w:t>supposed to have</w:t>
      </w:r>
      <w:r w:rsidR="00713D5A" w:rsidRPr="006319C6">
        <w:rPr>
          <w:rFonts w:ascii="Bookman Old Style" w:eastAsia="Times New Roman" w:hAnsi="Bookman Old Style" w:cs="Times New Roman"/>
          <w:iCs/>
          <w:color w:val="000000"/>
          <w:sz w:val="28"/>
          <w:szCs w:val="28"/>
          <w:lang w:eastAsia="en-GB"/>
        </w:rPr>
        <w:t xml:space="preserve"> an</w:t>
      </w:r>
      <w:r w:rsidRPr="006319C6">
        <w:rPr>
          <w:rFonts w:ascii="Bookman Old Style" w:eastAsia="Times New Roman" w:hAnsi="Bookman Old Style" w:cs="Times New Roman"/>
          <w:iCs/>
          <w:color w:val="000000"/>
          <w:sz w:val="28"/>
          <w:szCs w:val="28"/>
          <w:lang w:eastAsia="en-GB"/>
        </w:rPr>
        <w:t xml:space="preserve"> extralegal purpose</w:t>
      </w:r>
      <w:r w:rsidR="00154A49" w:rsidRPr="006319C6">
        <w:rPr>
          <w:rFonts w:ascii="Bookman Old Style" w:eastAsia="Times New Roman" w:hAnsi="Bookman Old Style" w:cs="Times New Roman"/>
          <w:iCs/>
          <w:color w:val="000000"/>
          <w:sz w:val="28"/>
          <w:szCs w:val="28"/>
          <w:lang w:eastAsia="en-GB"/>
        </w:rPr>
        <w:t>:</w:t>
      </w:r>
      <w:r w:rsidRPr="006319C6">
        <w:rPr>
          <w:rFonts w:ascii="Bookman Old Style" w:eastAsia="Times New Roman" w:hAnsi="Bookman Old Style" w:cs="Times New Roman"/>
          <w:iCs/>
          <w:color w:val="000000"/>
          <w:sz w:val="28"/>
          <w:szCs w:val="28"/>
          <w:lang w:eastAsia="en-GB"/>
        </w:rPr>
        <w:t xml:space="preserve"> to establish the truth about a conflict, to create a historical record, to contribute to </w:t>
      </w:r>
      <w:r w:rsidR="00154A49" w:rsidRPr="006319C6">
        <w:rPr>
          <w:rFonts w:ascii="Bookman Old Style" w:eastAsia="Times New Roman" w:hAnsi="Bookman Old Style" w:cs="Times New Roman"/>
          <w:iCs/>
          <w:color w:val="000000"/>
          <w:sz w:val="28"/>
          <w:szCs w:val="28"/>
          <w:lang w:eastAsia="en-GB"/>
        </w:rPr>
        <w:t xml:space="preserve">the </w:t>
      </w:r>
      <w:r w:rsidRPr="006319C6">
        <w:rPr>
          <w:rFonts w:ascii="Bookman Old Style" w:eastAsia="Times New Roman" w:hAnsi="Bookman Old Style" w:cs="Times New Roman"/>
          <w:iCs/>
          <w:color w:val="000000"/>
          <w:sz w:val="28"/>
          <w:szCs w:val="28"/>
          <w:lang w:eastAsia="en-GB"/>
        </w:rPr>
        <w:t>creation of a historical narrative</w:t>
      </w:r>
      <w:r w:rsidR="00713D5A" w:rsidRPr="006319C6">
        <w:rPr>
          <w:rFonts w:ascii="Bookman Old Style" w:eastAsia="Times New Roman" w:hAnsi="Bookman Old Style" w:cs="Times New Roman"/>
          <w:iCs/>
          <w:color w:val="000000"/>
          <w:sz w:val="28"/>
          <w:szCs w:val="28"/>
          <w:lang w:eastAsia="en-GB"/>
        </w:rPr>
        <w:t>,</w:t>
      </w:r>
      <w:r w:rsidRPr="006319C6">
        <w:rPr>
          <w:rFonts w:ascii="Bookman Old Style" w:eastAsia="Times New Roman" w:hAnsi="Bookman Old Style" w:cs="Times New Roman"/>
          <w:iCs/>
          <w:color w:val="000000"/>
          <w:sz w:val="28"/>
          <w:szCs w:val="28"/>
          <w:lang w:eastAsia="en-GB"/>
        </w:rPr>
        <w:t xml:space="preserve"> and to help in the shaping of collective memory. </w:t>
      </w:r>
    </w:p>
    <w:p w14:paraId="3A2D16E7" w14:textId="191D6465" w:rsidR="003402BD" w:rsidRPr="006319C6" w:rsidRDefault="003402BD" w:rsidP="00CC1447">
      <w:pPr>
        <w:jc w:val="both"/>
        <w:rPr>
          <w:rFonts w:ascii="Bookman Old Style" w:eastAsia="Times New Roman" w:hAnsi="Bookman Old Style" w:cs="Times New Roman"/>
          <w:iCs/>
          <w:color w:val="000000"/>
          <w:sz w:val="28"/>
          <w:szCs w:val="28"/>
          <w:lang w:eastAsia="en-GB"/>
        </w:rPr>
      </w:pPr>
      <w:r w:rsidRPr="006319C6">
        <w:rPr>
          <w:rFonts w:ascii="Bookman Old Style" w:eastAsia="Times New Roman" w:hAnsi="Bookman Old Style" w:cs="Times New Roman"/>
          <w:iCs/>
          <w:color w:val="000000"/>
          <w:sz w:val="28"/>
          <w:szCs w:val="28"/>
          <w:lang w:eastAsia="en-GB"/>
        </w:rPr>
        <w:tab/>
      </w:r>
      <w:r w:rsidR="00262F7E" w:rsidRPr="006319C6">
        <w:rPr>
          <w:rFonts w:ascii="Bookman Old Style" w:eastAsia="Times New Roman" w:hAnsi="Bookman Old Style" w:cs="Times New Roman"/>
          <w:iCs/>
          <w:color w:val="000000"/>
          <w:sz w:val="28"/>
          <w:szCs w:val="28"/>
          <w:lang w:eastAsia="en-GB"/>
        </w:rPr>
        <w:t>In the past two decades doctrinal</w:t>
      </w:r>
      <w:r w:rsidRPr="006319C6">
        <w:rPr>
          <w:rFonts w:ascii="Bookman Old Style" w:eastAsia="Times New Roman" w:hAnsi="Bookman Old Style" w:cs="Times New Roman"/>
          <w:iCs/>
          <w:color w:val="000000"/>
          <w:sz w:val="28"/>
          <w:szCs w:val="28"/>
          <w:lang w:eastAsia="en-GB"/>
        </w:rPr>
        <w:t xml:space="preserve"> literature on the legal and extralegal purposes of mass atrocities trials has grown rapidly, proportionate to the number of international criminal courts that came into existence after the end of the Cold War.</w:t>
      </w:r>
      <w:r w:rsidRPr="006319C6">
        <w:rPr>
          <w:rStyle w:val="FootnoteReference"/>
          <w:rFonts w:ascii="Bookman Old Style" w:eastAsia="Times New Roman" w:hAnsi="Bookman Old Style"/>
          <w:iCs/>
          <w:color w:val="000000"/>
          <w:sz w:val="28"/>
          <w:szCs w:val="28"/>
          <w:lang w:eastAsia="en-GB"/>
        </w:rPr>
        <w:footnoteReference w:id="2"/>
      </w:r>
      <w:r w:rsidRPr="006319C6">
        <w:rPr>
          <w:rFonts w:ascii="Bookman Old Style" w:eastAsia="Times New Roman" w:hAnsi="Bookman Old Style" w:cs="Times New Roman"/>
          <w:iCs/>
          <w:color w:val="000000"/>
          <w:sz w:val="28"/>
          <w:szCs w:val="28"/>
          <w:lang w:eastAsia="en-GB"/>
        </w:rPr>
        <w:t xml:space="preserve">  These courts - </w:t>
      </w:r>
      <w:r w:rsidRPr="006319C6">
        <w:rPr>
          <w:rFonts w:ascii="Bookman Old Style" w:eastAsia="Times New Roman" w:hAnsi="Bookman Old Style" w:cs="Times New Roman"/>
          <w:i/>
          <w:iCs/>
          <w:color w:val="000000"/>
          <w:sz w:val="28"/>
          <w:szCs w:val="28"/>
          <w:lang w:eastAsia="en-GB"/>
        </w:rPr>
        <w:t>ad hoc</w:t>
      </w:r>
      <w:r w:rsidRPr="006319C6">
        <w:rPr>
          <w:rFonts w:ascii="Bookman Old Style" w:eastAsia="Times New Roman" w:hAnsi="Bookman Old Style" w:cs="Times New Roman"/>
          <w:iCs/>
          <w:color w:val="000000"/>
          <w:sz w:val="28"/>
          <w:szCs w:val="28"/>
          <w:lang w:eastAsia="en-GB"/>
        </w:rPr>
        <w:t xml:space="preserve"> and permanent </w:t>
      </w:r>
      <w:r w:rsidRPr="006319C6">
        <w:rPr>
          <w:rFonts w:ascii="Bookman Old Style" w:eastAsia="Times New Roman" w:hAnsi="Bookman Old Style" w:cs="Times New Roman"/>
          <w:iCs/>
          <w:color w:val="000000"/>
          <w:sz w:val="28"/>
          <w:szCs w:val="28"/>
          <w:lang w:val="nl-NL" w:eastAsia="en-GB"/>
        </w:rPr>
        <w:t xml:space="preserve">- </w:t>
      </w:r>
      <w:r w:rsidRPr="006319C6">
        <w:rPr>
          <w:rFonts w:ascii="Bookman Old Style" w:eastAsia="Times New Roman" w:hAnsi="Bookman Old Style" w:cs="Times New Roman"/>
          <w:iCs/>
          <w:color w:val="000000"/>
          <w:sz w:val="28"/>
          <w:szCs w:val="28"/>
          <w:lang w:eastAsia="en-GB"/>
        </w:rPr>
        <w:t>have processed over a hundred trials</w:t>
      </w:r>
      <w:r w:rsidR="00154A49" w:rsidRPr="006319C6">
        <w:rPr>
          <w:rFonts w:ascii="Bookman Old Style" w:eastAsia="Times New Roman" w:hAnsi="Bookman Old Style" w:cs="Times New Roman"/>
          <w:iCs/>
          <w:color w:val="000000"/>
          <w:sz w:val="28"/>
          <w:szCs w:val="28"/>
          <w:lang w:eastAsia="en-GB"/>
        </w:rPr>
        <w:t>,</w:t>
      </w:r>
      <w:r w:rsidR="00262F7E" w:rsidRPr="006319C6">
        <w:rPr>
          <w:rFonts w:ascii="Bookman Old Style" w:eastAsia="Times New Roman" w:hAnsi="Bookman Old Style" w:cs="Times New Roman"/>
          <w:iCs/>
          <w:color w:val="000000"/>
          <w:sz w:val="28"/>
          <w:szCs w:val="28"/>
          <w:lang w:eastAsia="en-GB"/>
        </w:rPr>
        <w:t xml:space="preserve"> many of which </w:t>
      </w:r>
      <w:r w:rsidRPr="006319C6">
        <w:rPr>
          <w:rFonts w:ascii="Bookman Old Style" w:eastAsia="Times New Roman" w:hAnsi="Bookman Old Style" w:cs="Times New Roman"/>
          <w:iCs/>
          <w:color w:val="000000"/>
          <w:sz w:val="28"/>
          <w:szCs w:val="28"/>
          <w:lang w:eastAsia="en-GB"/>
        </w:rPr>
        <w:t>concluded with a judgment</w:t>
      </w:r>
      <w:r w:rsidR="00262F7E" w:rsidRPr="006319C6">
        <w:rPr>
          <w:rFonts w:ascii="Bookman Old Style" w:eastAsia="Times New Roman" w:hAnsi="Bookman Old Style" w:cs="Times New Roman"/>
          <w:iCs/>
          <w:color w:val="000000"/>
          <w:sz w:val="28"/>
          <w:szCs w:val="28"/>
          <w:lang w:eastAsia="en-GB"/>
        </w:rPr>
        <w:t>, whereas</w:t>
      </w:r>
      <w:r w:rsidRPr="006319C6">
        <w:rPr>
          <w:rFonts w:ascii="Bookman Old Style" w:eastAsia="Times New Roman" w:hAnsi="Bookman Old Style" w:cs="Times New Roman"/>
          <w:iCs/>
          <w:color w:val="000000"/>
          <w:sz w:val="28"/>
          <w:szCs w:val="28"/>
          <w:lang w:eastAsia="en-GB"/>
        </w:rPr>
        <w:t xml:space="preserve"> some have remained unfinished</w:t>
      </w:r>
      <w:r w:rsidR="00154A49" w:rsidRPr="006319C6">
        <w:rPr>
          <w:rFonts w:ascii="Bookman Old Style" w:eastAsia="Times New Roman" w:hAnsi="Bookman Old Style" w:cs="Times New Roman"/>
          <w:iCs/>
          <w:color w:val="000000"/>
          <w:sz w:val="28"/>
          <w:szCs w:val="28"/>
          <w:lang w:eastAsia="en-GB"/>
        </w:rPr>
        <w:t>,</w:t>
      </w:r>
      <w:r w:rsidRPr="006319C6">
        <w:rPr>
          <w:rFonts w:ascii="Bookman Old Style" w:eastAsia="Times New Roman" w:hAnsi="Bookman Old Style" w:cs="Times New Roman"/>
          <w:iCs/>
          <w:color w:val="000000"/>
          <w:sz w:val="28"/>
          <w:szCs w:val="28"/>
          <w:lang w:eastAsia="en-GB"/>
        </w:rPr>
        <w:t xml:space="preserve"> mostly </w:t>
      </w:r>
      <w:r w:rsidRPr="006319C6">
        <w:rPr>
          <w:rFonts w:ascii="Bookman Old Style" w:eastAsia="Times New Roman" w:hAnsi="Bookman Old Style" w:cs="Times New Roman"/>
          <w:iCs/>
          <w:color w:val="000000"/>
          <w:sz w:val="28"/>
          <w:szCs w:val="28"/>
          <w:lang w:eastAsia="en-GB"/>
        </w:rPr>
        <w:lastRenderedPageBreak/>
        <w:t>because defendants died before the end of the trial.</w:t>
      </w:r>
      <w:r w:rsidRPr="006319C6">
        <w:rPr>
          <w:rStyle w:val="FootnoteReference"/>
          <w:rFonts w:ascii="Bookman Old Style" w:eastAsia="Times New Roman" w:hAnsi="Bookman Old Style"/>
          <w:iCs/>
          <w:color w:val="000000"/>
          <w:sz w:val="28"/>
          <w:szCs w:val="28"/>
          <w:lang w:eastAsia="en-GB"/>
        </w:rPr>
        <w:footnoteReference w:id="3"/>
      </w:r>
      <w:r w:rsidR="000D3DED" w:rsidRPr="006319C6">
        <w:rPr>
          <w:rFonts w:ascii="Bookman Old Style" w:eastAsia="Times New Roman" w:hAnsi="Bookman Old Style" w:cs="Times New Roman"/>
          <w:iCs/>
          <w:color w:val="000000"/>
          <w:sz w:val="28"/>
          <w:szCs w:val="28"/>
          <w:lang w:eastAsia="en-GB"/>
        </w:rPr>
        <w:t xml:space="preserve"> Most</w:t>
      </w:r>
      <w:r w:rsidRPr="006319C6">
        <w:rPr>
          <w:rFonts w:ascii="Bookman Old Style" w:eastAsia="Times New Roman" w:hAnsi="Bookman Old Style" w:cs="Times New Roman"/>
          <w:iCs/>
          <w:color w:val="000000"/>
          <w:sz w:val="28"/>
          <w:szCs w:val="28"/>
          <w:lang w:eastAsia="en-GB"/>
        </w:rPr>
        <w:t xml:space="preserve"> judgments were convictions, </w:t>
      </w:r>
      <w:r w:rsidR="00154A49" w:rsidRPr="006319C6">
        <w:rPr>
          <w:rFonts w:ascii="Bookman Old Style" w:eastAsia="Times New Roman" w:hAnsi="Bookman Old Style" w:cs="Times New Roman"/>
          <w:iCs/>
          <w:color w:val="000000"/>
          <w:sz w:val="28"/>
          <w:szCs w:val="28"/>
          <w:lang w:eastAsia="en-GB"/>
        </w:rPr>
        <w:t xml:space="preserve">and </w:t>
      </w:r>
      <w:r w:rsidRPr="006319C6">
        <w:rPr>
          <w:rFonts w:ascii="Bookman Old Style" w:eastAsia="Times New Roman" w:hAnsi="Bookman Old Style" w:cs="Times New Roman"/>
          <w:iCs/>
          <w:color w:val="000000"/>
          <w:sz w:val="28"/>
          <w:szCs w:val="28"/>
          <w:lang w:eastAsia="en-GB"/>
        </w:rPr>
        <w:t xml:space="preserve">some </w:t>
      </w:r>
      <w:r w:rsidR="00154A49" w:rsidRPr="006319C6">
        <w:rPr>
          <w:rFonts w:ascii="Bookman Old Style" w:eastAsia="Times New Roman" w:hAnsi="Bookman Old Style" w:cs="Times New Roman"/>
          <w:iCs/>
          <w:color w:val="000000"/>
          <w:sz w:val="28"/>
          <w:szCs w:val="28"/>
          <w:lang w:eastAsia="en-GB"/>
        </w:rPr>
        <w:t xml:space="preserve">were </w:t>
      </w:r>
      <w:r w:rsidR="000D3DED" w:rsidRPr="006319C6">
        <w:rPr>
          <w:rFonts w:ascii="Bookman Old Style" w:eastAsia="Times New Roman" w:hAnsi="Bookman Old Style" w:cs="Times New Roman"/>
          <w:iCs/>
          <w:color w:val="000000"/>
          <w:sz w:val="28"/>
          <w:szCs w:val="28"/>
          <w:lang w:eastAsia="en-GB"/>
        </w:rPr>
        <w:t>acquittals.</w:t>
      </w:r>
    </w:p>
    <w:p w14:paraId="6ED45E60" w14:textId="1DDD4A6C" w:rsidR="003402BD" w:rsidRPr="006319C6" w:rsidRDefault="000D3DED" w:rsidP="00CC1447">
      <w:pPr>
        <w:jc w:val="both"/>
        <w:rPr>
          <w:rFonts w:ascii="Bookman Old Style" w:eastAsia="Times New Roman" w:hAnsi="Bookman Old Style" w:cs="Times New Roman"/>
          <w:iCs/>
          <w:color w:val="000000"/>
          <w:sz w:val="28"/>
          <w:szCs w:val="28"/>
          <w:lang w:eastAsia="en-GB"/>
        </w:rPr>
      </w:pPr>
      <w:r w:rsidRPr="006319C6">
        <w:rPr>
          <w:rFonts w:ascii="Bookman Old Style" w:eastAsia="Times New Roman" w:hAnsi="Bookman Old Style" w:cs="Times New Roman"/>
          <w:iCs/>
          <w:color w:val="000000"/>
          <w:sz w:val="28"/>
          <w:szCs w:val="28"/>
          <w:lang w:eastAsia="en-GB"/>
        </w:rPr>
        <w:tab/>
        <w:t xml:space="preserve">This article </w:t>
      </w:r>
      <w:r w:rsidR="003402BD" w:rsidRPr="006319C6">
        <w:rPr>
          <w:rFonts w:ascii="Bookman Old Style" w:eastAsia="Times New Roman" w:hAnsi="Bookman Old Style" w:cs="Times New Roman"/>
          <w:iCs/>
          <w:color w:val="000000"/>
          <w:sz w:val="28"/>
          <w:szCs w:val="28"/>
          <w:lang w:eastAsia="en-GB"/>
        </w:rPr>
        <w:t>address</w:t>
      </w:r>
      <w:r w:rsidRPr="006319C6">
        <w:rPr>
          <w:rFonts w:ascii="Bookman Old Style" w:eastAsia="Times New Roman" w:hAnsi="Bookman Old Style" w:cs="Times New Roman"/>
          <w:iCs/>
          <w:color w:val="000000"/>
          <w:sz w:val="28"/>
          <w:szCs w:val="28"/>
          <w:lang w:eastAsia="en-GB"/>
        </w:rPr>
        <w:t>es</w:t>
      </w:r>
      <w:r w:rsidR="003402BD" w:rsidRPr="006319C6">
        <w:rPr>
          <w:rFonts w:ascii="Bookman Old Style" w:eastAsia="Times New Roman" w:hAnsi="Bookman Old Style" w:cs="Times New Roman"/>
          <w:iCs/>
          <w:color w:val="000000"/>
          <w:sz w:val="28"/>
          <w:szCs w:val="28"/>
          <w:lang w:eastAsia="en-GB"/>
        </w:rPr>
        <w:t xml:space="preserve"> the interplay between l</w:t>
      </w:r>
      <w:r w:rsidRPr="006319C6">
        <w:rPr>
          <w:rFonts w:ascii="Bookman Old Style" w:eastAsia="Times New Roman" w:hAnsi="Bookman Old Style" w:cs="Times New Roman"/>
          <w:iCs/>
          <w:color w:val="000000"/>
          <w:sz w:val="28"/>
          <w:szCs w:val="28"/>
          <w:lang w:eastAsia="en-GB"/>
        </w:rPr>
        <w:t>egal and extra</w:t>
      </w:r>
      <w:r w:rsidR="003402BD" w:rsidRPr="006319C6">
        <w:rPr>
          <w:rFonts w:ascii="Bookman Old Style" w:eastAsia="Times New Roman" w:hAnsi="Bookman Old Style" w:cs="Times New Roman"/>
          <w:iCs/>
          <w:color w:val="000000"/>
          <w:sz w:val="28"/>
          <w:szCs w:val="28"/>
          <w:lang w:eastAsia="en-GB"/>
        </w:rPr>
        <w:t xml:space="preserve">legal purposes of mass atrocities trials by using a </w:t>
      </w:r>
      <w:r w:rsidR="002C4EFF" w:rsidRPr="006319C6">
        <w:rPr>
          <w:rFonts w:ascii="Bookman Old Style" w:eastAsia="Times New Roman" w:hAnsi="Bookman Old Style" w:cs="Times New Roman"/>
          <w:iCs/>
          <w:color w:val="000000"/>
          <w:sz w:val="28"/>
          <w:szCs w:val="28"/>
          <w:lang w:eastAsia="en-GB"/>
        </w:rPr>
        <w:t xml:space="preserve">sample </w:t>
      </w:r>
      <w:r w:rsidR="003402BD" w:rsidRPr="006319C6">
        <w:rPr>
          <w:rFonts w:ascii="Bookman Old Style" w:eastAsia="Times New Roman" w:hAnsi="Bookman Old Style" w:cs="Times New Roman"/>
          <w:iCs/>
          <w:color w:val="000000"/>
          <w:sz w:val="28"/>
          <w:szCs w:val="28"/>
          <w:lang w:eastAsia="en-GB"/>
        </w:rPr>
        <w:t>of the trials of political and military leaders held</w:t>
      </w:r>
      <w:r w:rsidR="002C4EFF" w:rsidRPr="006319C6">
        <w:rPr>
          <w:rFonts w:ascii="Bookman Old Style" w:eastAsia="Times New Roman" w:hAnsi="Bookman Old Style" w:cs="Times New Roman"/>
          <w:iCs/>
          <w:color w:val="000000"/>
          <w:sz w:val="28"/>
          <w:szCs w:val="28"/>
          <w:lang w:eastAsia="en-GB"/>
        </w:rPr>
        <w:t xml:space="preserve"> at</w:t>
      </w:r>
      <w:r w:rsidR="003402BD" w:rsidRPr="006319C6">
        <w:rPr>
          <w:rFonts w:ascii="Bookman Old Style" w:eastAsia="Times New Roman" w:hAnsi="Bookman Old Style" w:cs="Times New Roman"/>
          <w:iCs/>
          <w:color w:val="000000"/>
          <w:sz w:val="28"/>
          <w:szCs w:val="28"/>
          <w:lang w:eastAsia="en-GB"/>
        </w:rPr>
        <w:t xml:space="preserve"> the International Criminal </w:t>
      </w:r>
      <w:r w:rsidR="002C4EFF" w:rsidRPr="006319C6">
        <w:rPr>
          <w:rFonts w:ascii="Bookman Old Style" w:eastAsia="Times New Roman" w:hAnsi="Bookman Old Style" w:cs="Times New Roman"/>
          <w:iCs/>
          <w:color w:val="000000"/>
          <w:sz w:val="28"/>
          <w:szCs w:val="28"/>
          <w:lang w:eastAsia="en-GB"/>
        </w:rPr>
        <w:t xml:space="preserve">Tribunal </w:t>
      </w:r>
      <w:r w:rsidR="003402BD" w:rsidRPr="006319C6">
        <w:rPr>
          <w:rFonts w:ascii="Bookman Old Style" w:eastAsia="Times New Roman" w:hAnsi="Bookman Old Style" w:cs="Times New Roman"/>
          <w:iCs/>
          <w:color w:val="000000"/>
          <w:sz w:val="28"/>
          <w:szCs w:val="28"/>
          <w:lang w:eastAsia="en-GB"/>
        </w:rPr>
        <w:t>for Former Yugoslavia (ICTY).</w:t>
      </w:r>
      <w:r w:rsidR="003402BD" w:rsidRPr="006319C6">
        <w:rPr>
          <w:rStyle w:val="FootnoteReference"/>
          <w:rFonts w:ascii="Bookman Old Style" w:eastAsia="Times New Roman" w:hAnsi="Bookman Old Style"/>
          <w:iCs/>
          <w:color w:val="000000"/>
          <w:sz w:val="28"/>
          <w:szCs w:val="28"/>
          <w:lang w:eastAsia="en-GB"/>
        </w:rPr>
        <w:footnoteReference w:id="4"/>
      </w:r>
      <w:r w:rsidR="003402BD" w:rsidRPr="006319C6">
        <w:rPr>
          <w:rFonts w:ascii="Bookman Old Style" w:eastAsia="Times New Roman" w:hAnsi="Bookman Old Style" w:cs="Times New Roman"/>
          <w:iCs/>
          <w:color w:val="000000"/>
          <w:sz w:val="28"/>
          <w:szCs w:val="28"/>
          <w:lang w:eastAsia="en-GB"/>
        </w:rPr>
        <w:t xml:space="preserve"> </w:t>
      </w:r>
    </w:p>
    <w:p w14:paraId="720B9078"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40B23877"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102D043A"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2A07D420"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0961AC2A"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03168740"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124F5A60"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094ACA3B"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153CEA24"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5CEF1D1A"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5C3C46DC"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0F774CA7"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7D54B92C" w14:textId="77777777" w:rsidR="00840DEC" w:rsidRPr="006319C6" w:rsidRDefault="00840DEC" w:rsidP="00CC1447">
      <w:pPr>
        <w:jc w:val="both"/>
        <w:rPr>
          <w:rFonts w:ascii="Bookman Old Style" w:eastAsia="Times New Roman" w:hAnsi="Bookman Old Style" w:cs="Times New Roman"/>
          <w:iCs/>
          <w:color w:val="000000"/>
          <w:sz w:val="28"/>
          <w:szCs w:val="28"/>
          <w:lang w:eastAsia="en-GB"/>
        </w:rPr>
      </w:pPr>
    </w:p>
    <w:p w14:paraId="64358D7F" w14:textId="3D30C143" w:rsidR="003402BD" w:rsidRPr="006319C6" w:rsidRDefault="003402BD" w:rsidP="00CC1447">
      <w:pPr>
        <w:jc w:val="both"/>
        <w:rPr>
          <w:rFonts w:ascii="Bookman Old Style" w:eastAsia="Times New Roman" w:hAnsi="Bookman Old Style" w:cs="Times New Roman"/>
          <w:iCs/>
          <w:color w:val="000000"/>
          <w:sz w:val="28"/>
          <w:szCs w:val="28"/>
          <w:lang w:eastAsia="en-GB"/>
        </w:rPr>
      </w:pPr>
      <w:r w:rsidRPr="006319C6">
        <w:rPr>
          <w:rFonts w:ascii="Bookman Old Style" w:eastAsia="Times New Roman" w:hAnsi="Bookman Old Style" w:cs="Times New Roman"/>
          <w:iCs/>
          <w:color w:val="000000"/>
          <w:sz w:val="28"/>
          <w:szCs w:val="28"/>
          <w:lang w:eastAsia="en-GB"/>
        </w:rPr>
        <w:tab/>
        <w:t>The poi</w:t>
      </w:r>
      <w:r w:rsidR="000D3DED" w:rsidRPr="006319C6">
        <w:rPr>
          <w:rFonts w:ascii="Bookman Old Style" w:eastAsia="Times New Roman" w:hAnsi="Bookman Old Style" w:cs="Times New Roman"/>
          <w:iCs/>
          <w:color w:val="000000"/>
          <w:sz w:val="28"/>
          <w:szCs w:val="28"/>
          <w:lang w:eastAsia="en-GB"/>
        </w:rPr>
        <w:t xml:space="preserve">nt of departure </w:t>
      </w:r>
      <w:r w:rsidRPr="006319C6">
        <w:rPr>
          <w:rFonts w:ascii="Bookman Old Style" w:eastAsia="Times New Roman" w:hAnsi="Bookman Old Style" w:cs="Times New Roman"/>
          <w:iCs/>
          <w:color w:val="000000"/>
          <w:sz w:val="28"/>
          <w:szCs w:val="28"/>
          <w:lang w:eastAsia="en-GB"/>
        </w:rPr>
        <w:t>is the assumption that a courtroom always becomes the place of importance for establishing the truth, for producing a historical record</w:t>
      </w:r>
      <w:r w:rsidR="000D3DED" w:rsidRPr="006319C6">
        <w:rPr>
          <w:rFonts w:ascii="Bookman Old Style" w:eastAsia="Times New Roman" w:hAnsi="Bookman Old Style" w:cs="Times New Roman"/>
          <w:iCs/>
          <w:color w:val="000000"/>
          <w:sz w:val="28"/>
          <w:szCs w:val="28"/>
          <w:lang w:eastAsia="en-GB"/>
        </w:rPr>
        <w:t>,</w:t>
      </w:r>
      <w:r w:rsidRPr="006319C6">
        <w:rPr>
          <w:rFonts w:ascii="Bookman Old Style" w:eastAsia="Times New Roman" w:hAnsi="Bookman Old Style" w:cs="Times New Roman"/>
          <w:iCs/>
          <w:color w:val="000000"/>
          <w:sz w:val="28"/>
          <w:szCs w:val="28"/>
          <w:lang w:eastAsia="en-GB"/>
        </w:rPr>
        <w:t xml:space="preserve"> and for contributing to the histor</w:t>
      </w:r>
      <w:r w:rsidR="000D3DED" w:rsidRPr="006319C6">
        <w:rPr>
          <w:rFonts w:ascii="Bookman Old Style" w:eastAsia="Times New Roman" w:hAnsi="Bookman Old Style" w:cs="Times New Roman"/>
          <w:iCs/>
          <w:color w:val="000000"/>
          <w:sz w:val="28"/>
          <w:szCs w:val="28"/>
          <w:lang w:eastAsia="en-GB"/>
        </w:rPr>
        <w:t>ical narrative of the conflict.</w:t>
      </w:r>
      <w:r w:rsidRPr="006319C6">
        <w:rPr>
          <w:rFonts w:ascii="Bookman Old Style" w:eastAsia="Times New Roman" w:hAnsi="Bookman Old Style" w:cs="Times New Roman"/>
          <w:iCs/>
          <w:color w:val="000000"/>
          <w:sz w:val="28"/>
          <w:szCs w:val="28"/>
          <w:lang w:eastAsia="en-GB"/>
        </w:rPr>
        <w:t xml:space="preserve"> But what kind of truth, what kind of historical record</w:t>
      </w:r>
      <w:r w:rsidR="00154A49" w:rsidRPr="006319C6">
        <w:rPr>
          <w:rFonts w:ascii="Bookman Old Style" w:eastAsia="Times New Roman" w:hAnsi="Bookman Old Style" w:cs="Times New Roman"/>
          <w:iCs/>
          <w:color w:val="000000"/>
          <w:sz w:val="28"/>
          <w:szCs w:val="28"/>
          <w:lang w:eastAsia="en-GB"/>
        </w:rPr>
        <w:t>,</w:t>
      </w:r>
      <w:r w:rsidRPr="006319C6">
        <w:rPr>
          <w:rFonts w:ascii="Bookman Old Style" w:eastAsia="Times New Roman" w:hAnsi="Bookman Old Style" w:cs="Times New Roman"/>
          <w:iCs/>
          <w:color w:val="000000"/>
          <w:sz w:val="28"/>
          <w:szCs w:val="28"/>
          <w:lang w:eastAsia="en-GB"/>
        </w:rPr>
        <w:t xml:space="preserve"> and what kind of hi</w:t>
      </w:r>
      <w:r w:rsidR="000D3DED" w:rsidRPr="006319C6">
        <w:rPr>
          <w:rFonts w:ascii="Bookman Old Style" w:eastAsia="Times New Roman" w:hAnsi="Bookman Old Style" w:cs="Times New Roman"/>
          <w:iCs/>
          <w:color w:val="000000"/>
          <w:sz w:val="28"/>
          <w:szCs w:val="28"/>
          <w:lang w:eastAsia="en-GB"/>
        </w:rPr>
        <w:t>storical narrative can be</w:t>
      </w:r>
      <w:r w:rsidRPr="006319C6">
        <w:rPr>
          <w:rFonts w:ascii="Bookman Old Style" w:eastAsia="Times New Roman" w:hAnsi="Bookman Old Style" w:cs="Times New Roman"/>
          <w:iCs/>
          <w:color w:val="000000"/>
          <w:sz w:val="28"/>
          <w:szCs w:val="28"/>
          <w:lang w:eastAsia="en-GB"/>
        </w:rPr>
        <w:t xml:space="preserve"> expect</w:t>
      </w:r>
      <w:r w:rsidR="000D3DED" w:rsidRPr="006319C6">
        <w:rPr>
          <w:rFonts w:ascii="Bookman Old Style" w:eastAsia="Times New Roman" w:hAnsi="Bookman Old Style" w:cs="Times New Roman"/>
          <w:iCs/>
          <w:color w:val="000000"/>
          <w:sz w:val="28"/>
          <w:szCs w:val="28"/>
          <w:lang w:eastAsia="en-GB"/>
        </w:rPr>
        <w:t>ed</w:t>
      </w:r>
      <w:r w:rsidRPr="006319C6">
        <w:rPr>
          <w:rFonts w:ascii="Bookman Old Style" w:eastAsia="Times New Roman" w:hAnsi="Bookman Old Style" w:cs="Times New Roman"/>
          <w:iCs/>
          <w:color w:val="000000"/>
          <w:sz w:val="28"/>
          <w:szCs w:val="28"/>
          <w:lang w:eastAsia="en-GB"/>
        </w:rPr>
        <w:t xml:space="preserve">? </w:t>
      </w:r>
    </w:p>
    <w:p w14:paraId="75822E74" w14:textId="54AD0459" w:rsidR="003402BD" w:rsidRPr="006319C6" w:rsidRDefault="006E4136" w:rsidP="00CC1447">
      <w:pPr>
        <w:jc w:val="both"/>
        <w:rPr>
          <w:rFonts w:ascii="Bookman Old Style" w:eastAsia="Times New Roman" w:hAnsi="Bookman Old Style" w:cs="Times New Roman"/>
          <w:iCs/>
          <w:color w:val="000000"/>
          <w:sz w:val="28"/>
          <w:szCs w:val="28"/>
          <w:lang w:eastAsia="en-GB"/>
        </w:rPr>
      </w:pPr>
      <w:r w:rsidRPr="006319C6">
        <w:rPr>
          <w:rFonts w:ascii="Bookman Old Style" w:eastAsia="Times New Roman" w:hAnsi="Bookman Old Style" w:cs="Times New Roman"/>
          <w:iCs/>
          <w:color w:val="000000"/>
          <w:sz w:val="28"/>
          <w:szCs w:val="28"/>
          <w:lang w:eastAsia="en-GB"/>
        </w:rPr>
        <w:tab/>
      </w:r>
      <w:r w:rsidR="002C4EFF" w:rsidRPr="006319C6">
        <w:rPr>
          <w:rFonts w:ascii="Bookman Old Style" w:eastAsia="Times New Roman" w:hAnsi="Bookman Old Style" w:cs="Times New Roman"/>
          <w:iCs/>
          <w:color w:val="000000"/>
          <w:sz w:val="28"/>
          <w:szCs w:val="28"/>
          <w:lang w:eastAsia="en-GB"/>
        </w:rPr>
        <w:t>In order t</w:t>
      </w:r>
      <w:r w:rsidRPr="006319C6">
        <w:rPr>
          <w:rFonts w:ascii="Bookman Old Style" w:eastAsia="Times New Roman" w:hAnsi="Bookman Old Style" w:cs="Times New Roman"/>
          <w:iCs/>
          <w:color w:val="000000"/>
          <w:sz w:val="28"/>
          <w:szCs w:val="28"/>
          <w:lang w:eastAsia="en-GB"/>
        </w:rPr>
        <w:t>o answer the</w:t>
      </w:r>
      <w:r w:rsidR="003402BD" w:rsidRPr="006319C6">
        <w:rPr>
          <w:rFonts w:ascii="Bookman Old Style" w:eastAsia="Times New Roman" w:hAnsi="Bookman Old Style" w:cs="Times New Roman"/>
          <w:iCs/>
          <w:color w:val="000000"/>
          <w:sz w:val="28"/>
          <w:szCs w:val="28"/>
          <w:lang w:eastAsia="en-GB"/>
        </w:rPr>
        <w:t>s</w:t>
      </w:r>
      <w:r w:rsidR="002C4EFF" w:rsidRPr="006319C6">
        <w:rPr>
          <w:rFonts w:ascii="Bookman Old Style" w:eastAsia="Times New Roman" w:hAnsi="Bookman Old Style" w:cs="Times New Roman"/>
          <w:iCs/>
          <w:color w:val="000000"/>
          <w:sz w:val="28"/>
          <w:szCs w:val="28"/>
          <w:lang w:eastAsia="en-GB"/>
        </w:rPr>
        <w:t>e</w:t>
      </w:r>
      <w:r w:rsidR="003402BD" w:rsidRPr="006319C6">
        <w:rPr>
          <w:rFonts w:ascii="Bookman Old Style" w:eastAsia="Times New Roman" w:hAnsi="Bookman Old Style" w:cs="Times New Roman"/>
          <w:iCs/>
          <w:color w:val="000000"/>
          <w:sz w:val="28"/>
          <w:szCs w:val="28"/>
          <w:lang w:eastAsia="en-GB"/>
        </w:rPr>
        <w:t xml:space="preserve"> question</w:t>
      </w:r>
      <w:r w:rsidRPr="006319C6">
        <w:rPr>
          <w:rFonts w:ascii="Bookman Old Style" w:eastAsia="Times New Roman" w:hAnsi="Bookman Old Style" w:cs="Times New Roman"/>
          <w:iCs/>
          <w:color w:val="000000"/>
          <w:sz w:val="28"/>
          <w:szCs w:val="28"/>
          <w:lang w:eastAsia="en-GB"/>
        </w:rPr>
        <w:t>s</w:t>
      </w:r>
      <w:r w:rsidR="003402BD" w:rsidRPr="006319C6">
        <w:rPr>
          <w:rFonts w:ascii="Bookman Old Style" w:eastAsia="Times New Roman" w:hAnsi="Bookman Old Style" w:cs="Times New Roman"/>
          <w:iCs/>
          <w:color w:val="000000"/>
          <w:sz w:val="28"/>
          <w:szCs w:val="28"/>
          <w:lang w:eastAsia="en-GB"/>
        </w:rPr>
        <w:t xml:space="preserve"> </w:t>
      </w:r>
      <w:r w:rsidR="002C4EFF" w:rsidRPr="006319C6">
        <w:rPr>
          <w:rFonts w:ascii="Bookman Old Style" w:eastAsia="Times New Roman" w:hAnsi="Bookman Old Style" w:cs="Times New Roman"/>
          <w:iCs/>
          <w:color w:val="000000"/>
          <w:sz w:val="28"/>
          <w:szCs w:val="28"/>
          <w:lang w:eastAsia="en-GB"/>
        </w:rPr>
        <w:t>the following sub-questio</w:t>
      </w:r>
      <w:r w:rsidR="00F90B88" w:rsidRPr="006319C6">
        <w:rPr>
          <w:rFonts w:ascii="Bookman Old Style" w:eastAsia="Times New Roman" w:hAnsi="Bookman Old Style" w:cs="Times New Roman"/>
          <w:iCs/>
          <w:color w:val="000000"/>
          <w:sz w:val="28"/>
          <w:szCs w:val="28"/>
          <w:lang w:eastAsia="en-GB"/>
        </w:rPr>
        <w:t>ns are addressed</w:t>
      </w:r>
      <w:r w:rsidR="003402BD" w:rsidRPr="006319C6">
        <w:rPr>
          <w:rFonts w:ascii="Bookman Old Style" w:hAnsi="Bookman Old Style" w:cs="Times New Roman"/>
          <w:iCs/>
          <w:color w:val="000000"/>
          <w:sz w:val="28"/>
          <w:szCs w:val="28"/>
          <w:lang w:eastAsia="en-GB"/>
        </w:rPr>
        <w:t xml:space="preserve">: (1) </w:t>
      </w:r>
      <w:r w:rsidR="00CC04C2" w:rsidRPr="006319C6">
        <w:rPr>
          <w:rFonts w:ascii="Bookman Old Style" w:hAnsi="Bookman Old Style" w:cs="Times New Roman"/>
          <w:iCs/>
          <w:color w:val="000000"/>
          <w:sz w:val="28"/>
          <w:szCs w:val="28"/>
          <w:lang w:eastAsia="en-GB"/>
        </w:rPr>
        <w:t>w</w:t>
      </w:r>
      <w:r w:rsidR="00507660" w:rsidRPr="006319C6">
        <w:rPr>
          <w:rFonts w:ascii="Bookman Old Style" w:hAnsi="Bookman Old Style" w:cs="Times New Roman"/>
          <w:iCs/>
          <w:color w:val="000000"/>
          <w:sz w:val="28"/>
          <w:szCs w:val="28"/>
          <w:lang w:eastAsia="en-GB"/>
        </w:rPr>
        <w:t xml:space="preserve">hat is the difference between </w:t>
      </w:r>
      <w:r w:rsidR="00F90B88" w:rsidRPr="006319C6">
        <w:rPr>
          <w:rFonts w:ascii="Bookman Old Style" w:hAnsi="Bookman Old Style" w:cs="Times New Roman"/>
          <w:iCs/>
          <w:color w:val="000000"/>
          <w:sz w:val="28"/>
          <w:szCs w:val="28"/>
          <w:lang w:eastAsia="en-GB"/>
        </w:rPr>
        <w:t>“</w:t>
      </w:r>
      <w:r w:rsidR="00507660" w:rsidRPr="006319C6">
        <w:rPr>
          <w:rFonts w:ascii="Bookman Old Style" w:hAnsi="Bookman Old Style" w:cs="Times New Roman"/>
          <w:iCs/>
          <w:color w:val="000000"/>
          <w:sz w:val="28"/>
          <w:szCs w:val="28"/>
          <w:lang w:eastAsia="en-GB"/>
        </w:rPr>
        <w:t>trial truth</w:t>
      </w:r>
      <w:r w:rsidR="00F90B88" w:rsidRPr="006319C6">
        <w:rPr>
          <w:rFonts w:ascii="Bookman Old Style" w:hAnsi="Bookman Old Style" w:cs="Times New Roman"/>
          <w:iCs/>
          <w:color w:val="000000"/>
          <w:sz w:val="28"/>
          <w:szCs w:val="28"/>
          <w:lang w:eastAsia="en-GB"/>
        </w:rPr>
        <w:t>” and “real truth”;</w:t>
      </w:r>
      <w:r w:rsidR="00CC04C2" w:rsidRPr="006319C6">
        <w:rPr>
          <w:rFonts w:ascii="Bookman Old Style" w:hAnsi="Bookman Old Style" w:cs="Times New Roman"/>
          <w:iCs/>
          <w:color w:val="000000"/>
          <w:sz w:val="28"/>
          <w:szCs w:val="28"/>
          <w:lang w:eastAsia="en-GB"/>
        </w:rPr>
        <w:t xml:space="preserve"> </w:t>
      </w:r>
      <w:r w:rsidR="003402BD" w:rsidRPr="006319C6">
        <w:rPr>
          <w:rFonts w:ascii="Bookman Old Style" w:hAnsi="Bookman Old Style" w:cs="Times New Roman"/>
          <w:iCs/>
          <w:color w:val="000000"/>
          <w:sz w:val="28"/>
          <w:szCs w:val="28"/>
          <w:lang w:eastAsia="en-GB"/>
        </w:rPr>
        <w:t xml:space="preserve">(2) </w:t>
      </w:r>
      <w:r w:rsidR="00CC04C2" w:rsidRPr="006319C6">
        <w:rPr>
          <w:rFonts w:ascii="Bookman Old Style" w:hAnsi="Bookman Old Style" w:cs="Times New Roman"/>
          <w:iCs/>
          <w:color w:val="000000"/>
          <w:sz w:val="28"/>
          <w:szCs w:val="28"/>
          <w:lang w:eastAsia="en-GB"/>
        </w:rPr>
        <w:t>what constitutes a trial record</w:t>
      </w:r>
      <w:r w:rsidR="00F90B88" w:rsidRPr="006319C6">
        <w:rPr>
          <w:rFonts w:ascii="Bookman Old Style" w:hAnsi="Bookman Old Style" w:cs="Times New Roman"/>
          <w:iCs/>
          <w:color w:val="000000"/>
          <w:sz w:val="28"/>
          <w:szCs w:val="28"/>
          <w:lang w:eastAsia="en-GB"/>
        </w:rPr>
        <w:t>;</w:t>
      </w:r>
      <w:r w:rsidR="003402BD" w:rsidRPr="006319C6">
        <w:rPr>
          <w:rFonts w:ascii="Bookman Old Style" w:hAnsi="Bookman Old Style" w:cs="Times New Roman"/>
          <w:iCs/>
          <w:color w:val="000000"/>
          <w:sz w:val="28"/>
          <w:szCs w:val="28"/>
          <w:lang w:eastAsia="en-GB"/>
        </w:rPr>
        <w:t xml:space="preserve"> (3) what sort of contribution to the historical narrative and collective memory can one expect from judgments – convictions, </w:t>
      </w:r>
      <w:r w:rsidR="005B4AE8" w:rsidRPr="006319C6">
        <w:rPr>
          <w:rFonts w:ascii="Bookman Old Style" w:hAnsi="Bookman Old Style" w:cs="Times New Roman"/>
          <w:iCs/>
          <w:color w:val="000000"/>
          <w:sz w:val="28"/>
          <w:szCs w:val="28"/>
          <w:lang w:eastAsia="en-GB"/>
        </w:rPr>
        <w:t xml:space="preserve">judgments on pleas of </w:t>
      </w:r>
      <w:r w:rsidR="003402BD" w:rsidRPr="006319C6">
        <w:rPr>
          <w:rFonts w:ascii="Bookman Old Style" w:hAnsi="Bookman Old Style" w:cs="Times New Roman"/>
          <w:iCs/>
          <w:color w:val="000000"/>
          <w:sz w:val="28"/>
          <w:szCs w:val="28"/>
          <w:lang w:eastAsia="en-GB"/>
        </w:rPr>
        <w:t>guilty</w:t>
      </w:r>
      <w:r w:rsidR="00F90B88" w:rsidRPr="006319C6">
        <w:rPr>
          <w:rFonts w:ascii="Bookman Old Style" w:hAnsi="Bookman Old Style" w:cs="Times New Roman"/>
          <w:iCs/>
          <w:color w:val="000000"/>
          <w:sz w:val="28"/>
          <w:szCs w:val="28"/>
          <w:lang w:eastAsia="en-GB"/>
        </w:rPr>
        <w:t xml:space="preserve"> or acquittals;</w:t>
      </w:r>
      <w:r w:rsidR="003402BD" w:rsidRPr="006319C6">
        <w:rPr>
          <w:rFonts w:ascii="Bookman Old Style" w:hAnsi="Bookman Old Style" w:cs="Times New Roman"/>
          <w:iCs/>
          <w:color w:val="000000"/>
          <w:sz w:val="28"/>
          <w:szCs w:val="28"/>
          <w:lang w:eastAsia="en-GB"/>
        </w:rPr>
        <w:t xml:space="preserve"> (4) can an unfinished mass atrocities trial</w:t>
      </w:r>
      <w:r w:rsidR="00BB4079" w:rsidRPr="006319C6">
        <w:rPr>
          <w:rFonts w:ascii="Bookman Old Style" w:hAnsi="Bookman Old Style" w:cs="Times New Roman"/>
          <w:iCs/>
          <w:color w:val="000000"/>
          <w:sz w:val="28"/>
          <w:szCs w:val="28"/>
          <w:lang w:eastAsia="en-GB"/>
        </w:rPr>
        <w:t xml:space="preserve"> – without a judgment rendered – </w:t>
      </w:r>
      <w:r w:rsidR="003402BD" w:rsidRPr="006319C6">
        <w:rPr>
          <w:rFonts w:ascii="Bookman Old Style" w:hAnsi="Bookman Old Style" w:cs="Times New Roman"/>
          <w:iCs/>
          <w:color w:val="000000"/>
          <w:sz w:val="28"/>
          <w:szCs w:val="28"/>
          <w:lang w:eastAsia="en-GB"/>
        </w:rPr>
        <w:t>be a valuab</w:t>
      </w:r>
      <w:r w:rsidR="00BB4079" w:rsidRPr="006319C6">
        <w:rPr>
          <w:rFonts w:ascii="Bookman Old Style" w:hAnsi="Bookman Old Style" w:cs="Times New Roman"/>
          <w:iCs/>
          <w:color w:val="000000"/>
          <w:sz w:val="28"/>
          <w:szCs w:val="28"/>
          <w:lang w:eastAsia="en-GB"/>
        </w:rPr>
        <w:t>le historical source that</w:t>
      </w:r>
      <w:r w:rsidR="003402BD" w:rsidRPr="006319C6">
        <w:rPr>
          <w:rFonts w:ascii="Bookman Old Style" w:hAnsi="Bookman Old Style" w:cs="Times New Roman"/>
          <w:iCs/>
          <w:color w:val="000000"/>
          <w:sz w:val="28"/>
          <w:szCs w:val="28"/>
          <w:lang w:eastAsia="en-GB"/>
        </w:rPr>
        <w:t xml:space="preserve"> contribute</w:t>
      </w:r>
      <w:r w:rsidR="00BB4079" w:rsidRPr="006319C6">
        <w:rPr>
          <w:rFonts w:ascii="Bookman Old Style" w:hAnsi="Bookman Old Style" w:cs="Times New Roman"/>
          <w:iCs/>
          <w:color w:val="000000"/>
          <w:sz w:val="28"/>
          <w:szCs w:val="28"/>
          <w:lang w:eastAsia="en-GB"/>
        </w:rPr>
        <w:t>s</w:t>
      </w:r>
      <w:r w:rsidR="003402BD" w:rsidRPr="006319C6">
        <w:rPr>
          <w:rFonts w:ascii="Bookman Old Style" w:hAnsi="Bookman Old Style" w:cs="Times New Roman"/>
          <w:iCs/>
          <w:color w:val="000000"/>
          <w:sz w:val="28"/>
          <w:szCs w:val="28"/>
          <w:lang w:eastAsia="en-GB"/>
        </w:rPr>
        <w:t xml:space="preserve"> to the historical narrative</w:t>
      </w:r>
      <w:r w:rsidR="002C4EFF" w:rsidRPr="006319C6">
        <w:rPr>
          <w:rFonts w:ascii="Bookman Old Style" w:hAnsi="Bookman Old Style" w:cs="Times New Roman"/>
          <w:iCs/>
          <w:color w:val="000000"/>
          <w:sz w:val="28"/>
          <w:szCs w:val="28"/>
          <w:lang w:eastAsia="en-GB"/>
        </w:rPr>
        <w:t>?</w:t>
      </w:r>
    </w:p>
    <w:p w14:paraId="054272BE" w14:textId="77777777" w:rsidR="009474FC" w:rsidRPr="006319C6" w:rsidRDefault="003402BD" w:rsidP="009474FC">
      <w:pPr>
        <w:jc w:val="both"/>
        <w:rPr>
          <w:rFonts w:ascii="Bookman Old Style" w:hAnsi="Bookman Old Style" w:cs="Times New Roman"/>
          <w:sz w:val="28"/>
          <w:szCs w:val="28"/>
        </w:rPr>
      </w:pPr>
      <w:r w:rsidRPr="006319C6">
        <w:rPr>
          <w:rFonts w:ascii="Bookman Old Style" w:eastAsia="Times New Roman" w:hAnsi="Bookman Old Style" w:cs="Times New Roman"/>
          <w:iCs/>
          <w:color w:val="000000"/>
          <w:sz w:val="28"/>
          <w:szCs w:val="28"/>
          <w:lang w:eastAsia="en-GB"/>
        </w:rPr>
        <w:lastRenderedPageBreak/>
        <w:tab/>
      </w:r>
      <w:r w:rsidR="00BB4079" w:rsidRPr="006319C6">
        <w:rPr>
          <w:rFonts w:ascii="Bookman Old Style" w:eastAsia="Times New Roman" w:hAnsi="Bookman Old Style" w:cs="Times New Roman"/>
          <w:iCs/>
          <w:color w:val="000000"/>
          <w:sz w:val="28"/>
          <w:szCs w:val="28"/>
          <w:lang w:eastAsia="en-GB"/>
        </w:rPr>
        <w:t>T</w:t>
      </w:r>
      <w:r w:rsidRPr="006319C6">
        <w:rPr>
          <w:rFonts w:ascii="Bookman Old Style" w:eastAsia="Times New Roman" w:hAnsi="Bookman Old Style" w:cs="Times New Roman"/>
          <w:iCs/>
          <w:color w:val="000000"/>
          <w:sz w:val="28"/>
          <w:szCs w:val="28"/>
          <w:lang w:eastAsia="en-GB"/>
        </w:rPr>
        <w:t xml:space="preserve">his article </w:t>
      </w:r>
      <w:r w:rsidR="00BB4079" w:rsidRPr="006319C6">
        <w:rPr>
          <w:rFonts w:ascii="Bookman Old Style" w:eastAsia="Times New Roman" w:hAnsi="Bookman Old Style" w:cs="Times New Roman"/>
          <w:iCs/>
          <w:color w:val="000000"/>
          <w:sz w:val="28"/>
          <w:szCs w:val="28"/>
          <w:lang w:eastAsia="en-GB"/>
        </w:rPr>
        <w:t xml:space="preserve">first </w:t>
      </w:r>
      <w:r w:rsidRPr="006319C6">
        <w:rPr>
          <w:rFonts w:ascii="Bookman Old Style" w:hAnsi="Bookman Old Style" w:cs="Times New Roman"/>
          <w:sz w:val="28"/>
          <w:szCs w:val="28"/>
        </w:rPr>
        <w:t>explores the debate among practitioners at the internat</w:t>
      </w:r>
      <w:r w:rsidR="00BB4079" w:rsidRPr="006319C6">
        <w:rPr>
          <w:rFonts w:ascii="Bookman Old Style" w:hAnsi="Bookman Old Style" w:cs="Times New Roman"/>
          <w:sz w:val="28"/>
          <w:szCs w:val="28"/>
        </w:rPr>
        <w:t>ional criminal courts, legal scholars</w:t>
      </w:r>
      <w:r w:rsidR="00F208CE" w:rsidRPr="006319C6">
        <w:rPr>
          <w:rFonts w:ascii="Bookman Old Style" w:hAnsi="Bookman Old Style" w:cs="Times New Roman"/>
          <w:sz w:val="28"/>
          <w:szCs w:val="28"/>
        </w:rPr>
        <w:t>, victim</w:t>
      </w:r>
      <w:r w:rsidRPr="006319C6">
        <w:rPr>
          <w:rFonts w:ascii="Bookman Old Style" w:hAnsi="Bookman Old Style" w:cs="Times New Roman"/>
          <w:sz w:val="28"/>
          <w:szCs w:val="28"/>
        </w:rPr>
        <w:t xml:space="preserve"> communities</w:t>
      </w:r>
      <w:r w:rsidR="00F208CE"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and post-conflict political elites on the interplay between the legal and extralegal objectives of mass atrocities trials.</w:t>
      </w:r>
      <w:r w:rsidR="00F208CE" w:rsidRPr="006319C6">
        <w:rPr>
          <w:rFonts w:ascii="Bookman Old Style" w:hAnsi="Bookman Old Style" w:cs="Times New Roman"/>
          <w:sz w:val="28"/>
          <w:szCs w:val="28"/>
        </w:rPr>
        <w:t xml:space="preserve"> Then we turn to </w:t>
      </w:r>
      <w:r w:rsidRPr="006319C6">
        <w:rPr>
          <w:rFonts w:ascii="Bookman Old Style" w:eastAsia="Times New Roman" w:hAnsi="Bookman Old Style" w:cs="Times New Roman"/>
          <w:iCs/>
          <w:color w:val="000000"/>
          <w:sz w:val="28"/>
          <w:szCs w:val="28"/>
          <w:lang w:eastAsia="en-GB"/>
        </w:rPr>
        <w:t>what sort of truth, historical record, and historical narrative a mass atrocities trial can produce.</w:t>
      </w:r>
      <w:r w:rsidRPr="006319C6">
        <w:rPr>
          <w:rFonts w:ascii="Bookman Old Style" w:hAnsi="Bookman Old Style" w:cs="Times New Roman"/>
          <w:sz w:val="28"/>
          <w:szCs w:val="28"/>
        </w:rPr>
        <w:t xml:space="preserve"> </w:t>
      </w:r>
      <w:r w:rsidR="00246EA7" w:rsidRPr="006319C6">
        <w:rPr>
          <w:rFonts w:ascii="Bookman Old Style" w:hAnsi="Bookman Old Style" w:cs="Times New Roman"/>
          <w:sz w:val="28"/>
          <w:szCs w:val="28"/>
        </w:rPr>
        <w:t>The next</w:t>
      </w:r>
      <w:r w:rsidR="00154A49" w:rsidRPr="006319C6">
        <w:rPr>
          <w:rFonts w:ascii="Bookman Old Style" w:hAnsi="Bookman Old Style" w:cs="Times New Roman"/>
          <w:sz w:val="28"/>
          <w:szCs w:val="28"/>
        </w:rPr>
        <w:t xml:space="preserve"> s</w:t>
      </w:r>
      <w:r w:rsidRPr="006319C6">
        <w:rPr>
          <w:rFonts w:ascii="Bookman Old Style" w:hAnsi="Bookman Old Style" w:cs="Times New Roman"/>
          <w:sz w:val="28"/>
          <w:szCs w:val="28"/>
        </w:rPr>
        <w:t xml:space="preserve">ection </w:t>
      </w:r>
      <w:r w:rsidR="00F208CE" w:rsidRPr="006319C6">
        <w:rPr>
          <w:rFonts w:ascii="Bookman Old Style" w:eastAsia="Times New Roman" w:hAnsi="Bookman Old Style" w:cs="Times New Roman"/>
          <w:iCs/>
          <w:color w:val="000000"/>
          <w:sz w:val="28"/>
          <w:szCs w:val="28"/>
          <w:lang w:eastAsia="en-GB"/>
        </w:rPr>
        <w:t>examines</w:t>
      </w:r>
      <w:r w:rsidRPr="006319C6">
        <w:rPr>
          <w:rFonts w:ascii="Bookman Old Style" w:eastAsia="Times New Roman" w:hAnsi="Bookman Old Style" w:cs="Times New Roman"/>
          <w:iCs/>
          <w:color w:val="000000"/>
          <w:sz w:val="28"/>
          <w:szCs w:val="28"/>
          <w:lang w:eastAsia="en-GB"/>
        </w:rPr>
        <w:t xml:space="preserve"> the limitations that legal form can create in relatio</w:t>
      </w:r>
      <w:r w:rsidR="00F208CE" w:rsidRPr="006319C6">
        <w:rPr>
          <w:rFonts w:ascii="Bookman Old Style" w:eastAsia="Times New Roman" w:hAnsi="Bookman Old Style" w:cs="Times New Roman"/>
          <w:iCs/>
          <w:color w:val="000000"/>
          <w:sz w:val="28"/>
          <w:szCs w:val="28"/>
          <w:lang w:eastAsia="en-GB"/>
        </w:rPr>
        <w:t>n to historical narrative because of</w:t>
      </w:r>
      <w:r w:rsidRPr="006319C6">
        <w:rPr>
          <w:rFonts w:ascii="Bookman Old Style" w:eastAsia="Times New Roman" w:hAnsi="Bookman Old Style" w:cs="Times New Roman"/>
          <w:iCs/>
          <w:color w:val="000000"/>
          <w:sz w:val="28"/>
          <w:szCs w:val="28"/>
          <w:lang w:eastAsia="en-GB"/>
        </w:rPr>
        <w:t xml:space="preserve"> prosecutorial discretion about whom to indict for whic</w:t>
      </w:r>
      <w:r w:rsidR="00246EA7" w:rsidRPr="006319C6">
        <w:rPr>
          <w:rFonts w:ascii="Bookman Old Style" w:eastAsia="Times New Roman" w:hAnsi="Bookman Old Style" w:cs="Times New Roman"/>
          <w:iCs/>
          <w:color w:val="000000"/>
          <w:sz w:val="28"/>
          <w:szCs w:val="28"/>
          <w:lang w:eastAsia="en-GB"/>
        </w:rPr>
        <w:t>h crimes and according to which principles of responsi</w:t>
      </w:r>
      <w:r w:rsidR="005B4AE8" w:rsidRPr="006319C6">
        <w:rPr>
          <w:rFonts w:ascii="Bookman Old Style" w:eastAsia="Times New Roman" w:hAnsi="Bookman Old Style" w:cs="Times New Roman"/>
          <w:iCs/>
          <w:color w:val="000000"/>
          <w:sz w:val="28"/>
          <w:szCs w:val="28"/>
          <w:lang w:eastAsia="en-GB"/>
        </w:rPr>
        <w:t>bility</w:t>
      </w:r>
      <w:r w:rsidR="00246EA7" w:rsidRPr="006319C6">
        <w:rPr>
          <w:rFonts w:ascii="Bookman Old Style" w:eastAsia="Times New Roman" w:hAnsi="Bookman Old Style" w:cs="Times New Roman"/>
          <w:iCs/>
          <w:color w:val="000000"/>
          <w:sz w:val="28"/>
          <w:szCs w:val="28"/>
          <w:lang w:eastAsia="en-GB"/>
        </w:rPr>
        <w:t>. T</w:t>
      </w:r>
      <w:r w:rsidRPr="006319C6">
        <w:rPr>
          <w:rFonts w:ascii="Bookman Old Style" w:eastAsia="Times New Roman" w:hAnsi="Bookman Old Style" w:cs="Times New Roman"/>
          <w:iCs/>
          <w:color w:val="000000"/>
          <w:sz w:val="28"/>
          <w:szCs w:val="28"/>
          <w:lang w:eastAsia="en-GB"/>
        </w:rPr>
        <w:t>he limitations that rules of admissibility of evidence can have on the historical narrative when some evidence of importance is excluded or obscured from pub</w:t>
      </w:r>
      <w:r w:rsidR="00CF61AA" w:rsidRPr="006319C6">
        <w:rPr>
          <w:rFonts w:ascii="Bookman Old Style" w:eastAsia="Times New Roman" w:hAnsi="Bookman Old Style" w:cs="Times New Roman"/>
          <w:iCs/>
          <w:color w:val="000000"/>
          <w:sz w:val="28"/>
          <w:szCs w:val="28"/>
          <w:lang w:eastAsia="en-GB"/>
        </w:rPr>
        <w:t>l</w:t>
      </w:r>
      <w:r w:rsidRPr="006319C6">
        <w:rPr>
          <w:rFonts w:ascii="Bookman Old Style" w:eastAsia="Times New Roman" w:hAnsi="Bookman Old Style" w:cs="Times New Roman"/>
          <w:iCs/>
          <w:color w:val="000000"/>
          <w:sz w:val="28"/>
          <w:szCs w:val="28"/>
          <w:lang w:eastAsia="en-GB"/>
        </w:rPr>
        <w:t>ic view on a legal basis</w:t>
      </w:r>
      <w:r w:rsidR="00246EA7" w:rsidRPr="006319C6">
        <w:rPr>
          <w:rFonts w:ascii="Bookman Old Style" w:eastAsia="Times New Roman" w:hAnsi="Bookman Old Style" w:cs="Times New Roman"/>
          <w:iCs/>
          <w:color w:val="000000"/>
          <w:sz w:val="28"/>
          <w:szCs w:val="28"/>
          <w:lang w:eastAsia="en-GB"/>
        </w:rPr>
        <w:t xml:space="preserve"> are considered</w:t>
      </w:r>
      <w:r w:rsidRPr="006319C6">
        <w:rPr>
          <w:rFonts w:ascii="Bookman Old Style" w:eastAsia="Times New Roman" w:hAnsi="Bookman Old Style" w:cs="Times New Roman"/>
          <w:iCs/>
          <w:color w:val="000000"/>
          <w:sz w:val="28"/>
          <w:szCs w:val="28"/>
          <w:lang w:eastAsia="en-GB"/>
        </w:rPr>
        <w:t xml:space="preserve">. </w:t>
      </w:r>
      <w:r w:rsidR="00246EA7" w:rsidRPr="006319C6">
        <w:rPr>
          <w:rFonts w:ascii="Bookman Old Style" w:hAnsi="Bookman Old Style" w:cs="Times New Roman"/>
          <w:sz w:val="28"/>
          <w:szCs w:val="28"/>
        </w:rPr>
        <w:t>The final</w:t>
      </w:r>
      <w:r w:rsidR="00154A49" w:rsidRPr="006319C6">
        <w:rPr>
          <w:rFonts w:ascii="Bookman Old Style" w:hAnsi="Bookman Old Style" w:cs="Times New Roman"/>
          <w:sz w:val="28"/>
          <w:szCs w:val="28"/>
        </w:rPr>
        <w:t xml:space="preserve"> s</w:t>
      </w:r>
      <w:r w:rsidR="006A54C4" w:rsidRPr="006319C6">
        <w:rPr>
          <w:rFonts w:ascii="Bookman Old Style" w:hAnsi="Bookman Old Style" w:cs="Times New Roman"/>
          <w:sz w:val="28"/>
          <w:szCs w:val="28"/>
        </w:rPr>
        <w:t>ection discusses</w:t>
      </w:r>
      <w:r w:rsidRPr="006319C6">
        <w:rPr>
          <w:rFonts w:ascii="Bookman Old Style" w:hAnsi="Bookman Old Style" w:cs="Times New Roman"/>
          <w:sz w:val="28"/>
          <w:szCs w:val="28"/>
        </w:rPr>
        <w:t xml:space="preserve"> whether there is any value left</w:t>
      </w:r>
      <w:r w:rsidR="00CF61AA"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other than legal</w:t>
      </w:r>
      <w:r w:rsidR="00CF61AA" w:rsidRPr="006319C6">
        <w:rPr>
          <w:rFonts w:ascii="Bookman Old Style" w:hAnsi="Bookman Old Style" w:cs="Times New Roman"/>
          <w:sz w:val="28"/>
          <w:szCs w:val="28"/>
        </w:rPr>
        <w:t>,</w:t>
      </w:r>
      <w:r w:rsidR="009474FC" w:rsidRPr="006319C6">
        <w:rPr>
          <w:rFonts w:ascii="Bookman Old Style" w:hAnsi="Bookman Old Style" w:cs="Times New Roman"/>
          <w:sz w:val="28"/>
          <w:szCs w:val="28"/>
        </w:rPr>
        <w:t xml:space="preserve"> for an unfinished trial. How might</w:t>
      </w:r>
      <w:r w:rsidRPr="006319C6">
        <w:rPr>
          <w:rFonts w:ascii="Bookman Old Style" w:hAnsi="Bookman Old Style" w:cs="Times New Roman"/>
          <w:sz w:val="28"/>
          <w:szCs w:val="28"/>
        </w:rPr>
        <w:t xml:space="preserve"> the trial archive of the unfi</w:t>
      </w:r>
      <w:r w:rsidR="006A54C4" w:rsidRPr="006319C6">
        <w:rPr>
          <w:rFonts w:ascii="Bookman Old Style" w:hAnsi="Bookman Old Style" w:cs="Times New Roman"/>
          <w:sz w:val="28"/>
          <w:szCs w:val="28"/>
        </w:rPr>
        <w:t>nished trial contribute</w:t>
      </w:r>
      <w:r w:rsidRPr="006319C6">
        <w:rPr>
          <w:rFonts w:ascii="Bookman Old Style" w:hAnsi="Bookman Old Style" w:cs="Times New Roman"/>
          <w:sz w:val="28"/>
          <w:szCs w:val="28"/>
        </w:rPr>
        <w:t xml:space="preserve"> to historical justice and to the historical narrative</w:t>
      </w:r>
      <w:r w:rsidR="00CF61AA" w:rsidRPr="006319C6">
        <w:rPr>
          <w:rFonts w:ascii="Bookman Old Style" w:hAnsi="Bookman Old Style" w:cs="Times New Roman"/>
          <w:sz w:val="28"/>
          <w:szCs w:val="28"/>
        </w:rPr>
        <w:t>?</w:t>
      </w:r>
    </w:p>
    <w:p w14:paraId="51601047" w14:textId="77777777" w:rsidR="009474FC" w:rsidRPr="006319C6" w:rsidRDefault="009474FC" w:rsidP="009474FC">
      <w:pPr>
        <w:jc w:val="both"/>
        <w:rPr>
          <w:rFonts w:ascii="Bookman Old Style" w:hAnsi="Bookman Old Style" w:cs="Times New Roman"/>
          <w:sz w:val="28"/>
          <w:szCs w:val="28"/>
        </w:rPr>
      </w:pPr>
    </w:p>
    <w:p w14:paraId="7B67FEB1" w14:textId="66640964" w:rsidR="009474FC" w:rsidRPr="006319C6" w:rsidRDefault="00D435DA" w:rsidP="009474FC">
      <w:pPr>
        <w:jc w:val="center"/>
        <w:rPr>
          <w:rFonts w:ascii="Bookman Old Style" w:hAnsi="Bookman Old Style" w:cs="Times New Roman"/>
          <w:sz w:val="28"/>
          <w:szCs w:val="28"/>
        </w:rPr>
      </w:pPr>
      <w:r w:rsidRPr="006319C6">
        <w:rPr>
          <w:rFonts w:ascii="Bookman Old Style" w:hAnsi="Bookman Old Style" w:cs="Times New Roman"/>
          <w:sz w:val="28"/>
          <w:szCs w:val="28"/>
        </w:rPr>
        <w:t>DOCTRINAL DEBATE ON LEGAL AND EXTRALEGAL PURPOSES</w:t>
      </w:r>
    </w:p>
    <w:p w14:paraId="4794EEDB" w14:textId="6B0E462B" w:rsidR="00A9165D" w:rsidRPr="006319C6" w:rsidRDefault="00D435DA" w:rsidP="009474FC">
      <w:pPr>
        <w:jc w:val="center"/>
        <w:rPr>
          <w:rFonts w:ascii="Bookman Old Style" w:hAnsi="Bookman Old Style" w:cs="Times New Roman"/>
          <w:sz w:val="28"/>
          <w:szCs w:val="28"/>
        </w:rPr>
      </w:pPr>
      <w:r w:rsidRPr="006319C6">
        <w:rPr>
          <w:rFonts w:ascii="Bookman Old Style" w:hAnsi="Bookman Old Style" w:cs="Times New Roman"/>
          <w:sz w:val="28"/>
          <w:szCs w:val="28"/>
        </w:rPr>
        <w:t>OF MASS ATROCITIES TRIALS</w:t>
      </w:r>
    </w:p>
    <w:p w14:paraId="0F4CCF7E" w14:textId="77777777" w:rsidR="009474FC" w:rsidRPr="006319C6" w:rsidRDefault="009474FC" w:rsidP="00A9165D">
      <w:pPr>
        <w:ind w:firstLine="720"/>
        <w:jc w:val="both"/>
        <w:rPr>
          <w:rFonts w:ascii="Bookman Old Style" w:hAnsi="Bookman Old Style" w:cs="Times New Roman"/>
          <w:sz w:val="28"/>
          <w:szCs w:val="28"/>
        </w:rPr>
      </w:pPr>
    </w:p>
    <w:p w14:paraId="187FC46E" w14:textId="1DA6D483" w:rsidR="00840DEC" w:rsidRPr="006319C6" w:rsidRDefault="003402BD" w:rsidP="00A9165D">
      <w:pPr>
        <w:ind w:firstLine="720"/>
        <w:jc w:val="both"/>
        <w:rPr>
          <w:rFonts w:ascii="Bookman Old Style" w:hAnsi="Bookman Old Style" w:cs="Times New Roman"/>
          <w:sz w:val="28"/>
          <w:szCs w:val="28"/>
        </w:rPr>
      </w:pPr>
      <w:r w:rsidRPr="006319C6">
        <w:rPr>
          <w:rFonts w:ascii="Bookman Old Style" w:hAnsi="Bookman Old Style" w:cs="Times New Roman"/>
          <w:sz w:val="28"/>
          <w:szCs w:val="28"/>
        </w:rPr>
        <w:t xml:space="preserve">The debate about the purpose of mass atrocities trials </w:t>
      </w:r>
      <w:r w:rsidR="00DC7799" w:rsidRPr="006319C6">
        <w:rPr>
          <w:rFonts w:ascii="Bookman Old Style" w:hAnsi="Bookman Old Style" w:cs="Times New Roman"/>
          <w:sz w:val="28"/>
          <w:szCs w:val="28"/>
        </w:rPr>
        <w:t>extends to</w:t>
      </w:r>
      <w:r w:rsidRPr="006319C6">
        <w:rPr>
          <w:rFonts w:ascii="Bookman Old Style" w:hAnsi="Bookman Old Style" w:cs="Times New Roman"/>
          <w:sz w:val="28"/>
          <w:szCs w:val="28"/>
        </w:rPr>
        <w:t xml:space="preserve"> the Nuremberg and the Tokyo Tribunals</w:t>
      </w:r>
      <w:r w:rsidRPr="006319C6">
        <w:rPr>
          <w:rStyle w:val="FootnoteReference"/>
          <w:rFonts w:ascii="Bookman Old Style" w:hAnsi="Bookman Old Style"/>
          <w:sz w:val="28"/>
          <w:szCs w:val="28"/>
        </w:rPr>
        <w:footnoteReference w:id="5"/>
      </w:r>
      <w:r w:rsidRPr="006319C6">
        <w:rPr>
          <w:rFonts w:ascii="Bookman Old Style" w:hAnsi="Bookman Old Style" w:cs="Times New Roman"/>
          <w:sz w:val="28"/>
          <w:szCs w:val="28"/>
        </w:rPr>
        <w:t xml:space="preserve"> and has</w:t>
      </w:r>
      <w:r w:rsidR="00DC7799" w:rsidRPr="006319C6">
        <w:rPr>
          <w:rFonts w:ascii="Bookman Old Style" w:hAnsi="Bookman Old Style" w:cs="Times New Roman"/>
          <w:sz w:val="28"/>
          <w:szCs w:val="28"/>
        </w:rPr>
        <w:t xml:space="preserve"> been dominated </w:t>
      </w:r>
      <w:r w:rsidRPr="006319C6">
        <w:rPr>
          <w:rFonts w:ascii="Bookman Old Style" w:hAnsi="Bookman Old Style" w:cs="Times New Roman"/>
          <w:sz w:val="28"/>
          <w:szCs w:val="28"/>
        </w:rPr>
        <w:t>by two opposing views.</w:t>
      </w:r>
      <w:r w:rsidRPr="006319C6">
        <w:rPr>
          <w:rStyle w:val="FootnoteReference"/>
          <w:rFonts w:ascii="Bookman Old Style" w:hAnsi="Bookman Old Style"/>
          <w:sz w:val="28"/>
          <w:szCs w:val="28"/>
        </w:rPr>
        <w:t xml:space="preserve"> </w:t>
      </w:r>
      <w:r w:rsidRPr="006319C6">
        <w:rPr>
          <w:rStyle w:val="FootnoteReference"/>
          <w:rFonts w:ascii="Bookman Old Style" w:hAnsi="Bookman Old Style"/>
          <w:sz w:val="28"/>
          <w:szCs w:val="28"/>
        </w:rPr>
        <w:footnoteReference w:id="6"/>
      </w:r>
      <w:r w:rsidRPr="006319C6">
        <w:rPr>
          <w:rStyle w:val="FootnoteReference"/>
          <w:rFonts w:ascii="Bookman Old Style" w:hAnsi="Bookman Old Style"/>
          <w:sz w:val="28"/>
          <w:szCs w:val="28"/>
        </w:rPr>
        <w:t xml:space="preserve"> </w:t>
      </w:r>
      <w:r w:rsidRPr="006319C6">
        <w:rPr>
          <w:rFonts w:ascii="Bookman Old Style" w:hAnsi="Bookman Old Style" w:cs="Times New Roman"/>
          <w:sz w:val="28"/>
          <w:szCs w:val="28"/>
        </w:rPr>
        <w:t xml:space="preserve"> The tone in the discussion on the purpose of a mass</w:t>
      </w:r>
      <w:r w:rsidR="00CF61AA" w:rsidRPr="006319C6">
        <w:rPr>
          <w:rFonts w:ascii="Bookman Old Style" w:hAnsi="Bookman Old Style" w:cs="Times New Roman"/>
          <w:sz w:val="28"/>
          <w:szCs w:val="28"/>
        </w:rPr>
        <w:t xml:space="preserve"> </w:t>
      </w:r>
      <w:r w:rsidRPr="006319C6">
        <w:rPr>
          <w:rFonts w:ascii="Bookman Old Style" w:hAnsi="Bookman Old Style" w:cs="Times New Roman"/>
          <w:sz w:val="28"/>
          <w:szCs w:val="28"/>
        </w:rPr>
        <w:t>atrocities trial was set by Hannah Arendt</w:t>
      </w:r>
      <w:r w:rsidR="00DC7799" w:rsidRPr="006319C6">
        <w:rPr>
          <w:rFonts w:ascii="Bookman Old Style" w:hAnsi="Bookman Old Style" w:cs="Times New Roman"/>
          <w:sz w:val="28"/>
          <w:szCs w:val="28"/>
        </w:rPr>
        <w:t xml:space="preserve"> (1906-1975)</w:t>
      </w:r>
      <w:r w:rsidRPr="006319C6">
        <w:rPr>
          <w:rFonts w:ascii="Bookman Old Style" w:hAnsi="Bookman Old Style" w:cs="Times New Roman"/>
          <w:sz w:val="28"/>
          <w:szCs w:val="28"/>
        </w:rPr>
        <w:t xml:space="preserve">, who argued that mass </w:t>
      </w:r>
      <w:r w:rsidRPr="006319C6">
        <w:rPr>
          <w:rFonts w:ascii="Bookman Old Style" w:hAnsi="Bookman Old Style" w:cs="Times New Roman"/>
          <w:sz w:val="28"/>
          <w:szCs w:val="28"/>
        </w:rPr>
        <w:lastRenderedPageBreak/>
        <w:t>atrocities tria</w:t>
      </w:r>
      <w:r w:rsidR="00252797" w:rsidRPr="006319C6">
        <w:rPr>
          <w:rFonts w:ascii="Bookman Old Style" w:hAnsi="Bookman Old Style" w:cs="Times New Roman"/>
          <w:sz w:val="28"/>
          <w:szCs w:val="28"/>
        </w:rPr>
        <w:t>ls should</w:t>
      </w:r>
      <w:r w:rsidRPr="006319C6">
        <w:rPr>
          <w:rFonts w:ascii="Bookman Old Style" w:hAnsi="Bookman Old Style" w:cs="Times New Roman"/>
          <w:sz w:val="28"/>
          <w:szCs w:val="28"/>
        </w:rPr>
        <w:t xml:space="preserve"> fulfill their legal mandate and nothing else. </w:t>
      </w:r>
    </w:p>
    <w:p w14:paraId="77A7AFBB" w14:textId="26C2C156" w:rsidR="003402BD" w:rsidRPr="006319C6" w:rsidRDefault="003402BD" w:rsidP="00840DEC">
      <w:pPr>
        <w:jc w:val="both"/>
        <w:rPr>
          <w:rFonts w:ascii="Bookman Old Style" w:hAnsi="Bookman Old Style" w:cs="Times New Roman"/>
          <w:sz w:val="28"/>
          <w:szCs w:val="28"/>
        </w:rPr>
      </w:pPr>
      <w:r w:rsidRPr="006319C6">
        <w:rPr>
          <w:rFonts w:ascii="Bookman Old Style" w:hAnsi="Bookman Old Style" w:cs="Times New Roman"/>
          <w:sz w:val="28"/>
          <w:szCs w:val="28"/>
        </w:rPr>
        <w:t>Reporting in 1961 from Jerusalem on the Eichmann trial, Arendt wrote “that the purpose of a trial is to render justice, and nothing else; even the noblest of ulterior purposes</w:t>
      </w:r>
      <w:r w:rsidR="00252797" w:rsidRPr="006319C6">
        <w:rPr>
          <w:rFonts w:ascii="Bookman Old Style" w:hAnsi="Bookman Old Style" w:cs="Times New Roman"/>
          <w:sz w:val="28"/>
          <w:szCs w:val="28"/>
        </w:rPr>
        <w:t xml:space="preserve"> </w:t>
      </w:r>
      <w:r w:rsidRPr="006319C6">
        <w:rPr>
          <w:rFonts w:ascii="Bookman Old Style" w:hAnsi="Bookman Old Style" w:cs="Times New Roman"/>
          <w:sz w:val="28"/>
          <w:szCs w:val="28"/>
        </w:rPr>
        <w:t>…</w:t>
      </w:r>
      <w:r w:rsidR="00252797" w:rsidRPr="006319C6">
        <w:rPr>
          <w:rFonts w:ascii="Bookman Old Style" w:hAnsi="Bookman Old Style" w:cs="Times New Roman"/>
          <w:sz w:val="28"/>
          <w:szCs w:val="28"/>
        </w:rPr>
        <w:t xml:space="preserve"> </w:t>
      </w:r>
      <w:r w:rsidRPr="006319C6">
        <w:rPr>
          <w:rFonts w:ascii="Bookman Old Style" w:hAnsi="Bookman Old Style" w:cs="Times New Roman"/>
          <w:sz w:val="28"/>
          <w:szCs w:val="28"/>
        </w:rPr>
        <w:t>can only distract from the law’s main business: to weigh the charges brought against the accused, to render judgm</w:t>
      </w:r>
      <w:r w:rsidR="00252797" w:rsidRPr="006319C6">
        <w:rPr>
          <w:rFonts w:ascii="Bookman Old Style" w:hAnsi="Bookman Old Style" w:cs="Times New Roman"/>
          <w:sz w:val="28"/>
          <w:szCs w:val="28"/>
        </w:rPr>
        <w:t>ent, and to mete out punishment</w:t>
      </w:r>
      <w:r w:rsidRPr="006319C6">
        <w:rPr>
          <w:rFonts w:ascii="Bookman Old Style" w:hAnsi="Bookman Old Style" w:cs="Times New Roman"/>
          <w:sz w:val="28"/>
          <w:szCs w:val="28"/>
        </w:rPr>
        <w:t>”</w:t>
      </w:r>
      <w:r w:rsidR="00252797" w:rsidRPr="006319C6">
        <w:rPr>
          <w:rFonts w:ascii="Bookman Old Style" w:hAnsi="Bookman Old Style" w:cs="Times New Roman"/>
          <w:sz w:val="28"/>
          <w:szCs w:val="28"/>
        </w:rPr>
        <w:t>.</w:t>
      </w:r>
      <w:r w:rsidRPr="006319C6">
        <w:rPr>
          <w:rStyle w:val="FootnoteReference"/>
          <w:rFonts w:ascii="Bookman Old Style" w:hAnsi="Bookman Old Style"/>
          <w:sz w:val="28"/>
          <w:szCs w:val="28"/>
        </w:rPr>
        <w:footnoteReference w:id="7"/>
      </w:r>
      <w:r w:rsidRPr="006319C6">
        <w:rPr>
          <w:rFonts w:ascii="Bookman Old Style" w:hAnsi="Bookman Old Style" w:cs="Times New Roman"/>
          <w:sz w:val="28"/>
          <w:szCs w:val="28"/>
        </w:rPr>
        <w:t xml:space="preserve"> Decades later when writing about the Toky</w:t>
      </w:r>
      <w:r w:rsidR="00E72B2B" w:rsidRPr="006319C6">
        <w:rPr>
          <w:rFonts w:ascii="Bookman Old Style" w:hAnsi="Bookman Old Style" w:cs="Times New Roman"/>
          <w:sz w:val="28"/>
          <w:szCs w:val="28"/>
        </w:rPr>
        <w:t>o Tribunal, Ia</w:t>
      </w:r>
      <w:r w:rsidRPr="006319C6">
        <w:rPr>
          <w:rFonts w:ascii="Bookman Old Style" w:hAnsi="Bookman Old Style" w:cs="Times New Roman"/>
          <w:sz w:val="28"/>
          <w:szCs w:val="28"/>
        </w:rPr>
        <w:t xml:space="preserve">n </w:t>
      </w:r>
      <w:proofErr w:type="spellStart"/>
      <w:r w:rsidRPr="006319C6">
        <w:rPr>
          <w:rFonts w:ascii="Bookman Old Style" w:hAnsi="Bookman Old Style" w:cs="Times New Roman"/>
          <w:sz w:val="28"/>
          <w:szCs w:val="28"/>
        </w:rPr>
        <w:t>Buruma</w:t>
      </w:r>
      <w:proofErr w:type="spellEnd"/>
      <w:r w:rsidRPr="006319C6">
        <w:rPr>
          <w:rFonts w:ascii="Bookman Old Style" w:hAnsi="Bookman Old Style" w:cs="Times New Roman"/>
          <w:sz w:val="28"/>
          <w:szCs w:val="28"/>
        </w:rPr>
        <w:t xml:space="preserve"> went a step further by arguing that there is no place for history in the courtroom: “Just as belief belongs in church, s</w:t>
      </w:r>
      <w:r w:rsidR="006758F4" w:rsidRPr="006319C6">
        <w:rPr>
          <w:rFonts w:ascii="Bookman Old Style" w:hAnsi="Bookman Old Style" w:cs="Times New Roman"/>
          <w:sz w:val="28"/>
          <w:szCs w:val="28"/>
        </w:rPr>
        <w:t>urely history belongs in school</w:t>
      </w:r>
      <w:r w:rsidRPr="006319C6">
        <w:rPr>
          <w:rFonts w:ascii="Bookman Old Style" w:hAnsi="Bookman Old Style" w:cs="Times New Roman"/>
          <w:sz w:val="28"/>
          <w:szCs w:val="28"/>
        </w:rPr>
        <w:t>”</w:t>
      </w:r>
      <w:r w:rsidR="006758F4"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He concluded that “when the court of law is used for history lessons, then the risk of show trials cannot b</w:t>
      </w:r>
      <w:r w:rsidR="006758F4" w:rsidRPr="006319C6">
        <w:rPr>
          <w:rFonts w:ascii="Bookman Old Style" w:hAnsi="Bookman Old Style" w:cs="Times New Roman"/>
          <w:sz w:val="28"/>
          <w:szCs w:val="28"/>
        </w:rPr>
        <w:t>e far off</w:t>
      </w:r>
      <w:r w:rsidRPr="006319C6">
        <w:rPr>
          <w:rFonts w:ascii="Bookman Old Style" w:hAnsi="Bookman Old Style" w:cs="Times New Roman"/>
          <w:sz w:val="28"/>
          <w:szCs w:val="28"/>
        </w:rPr>
        <w:t>”</w:t>
      </w:r>
      <w:r w:rsidR="006758F4" w:rsidRPr="006319C6">
        <w:rPr>
          <w:rFonts w:ascii="Bookman Old Style" w:hAnsi="Bookman Old Style" w:cs="Times New Roman"/>
          <w:sz w:val="28"/>
          <w:szCs w:val="28"/>
        </w:rPr>
        <w:t>.</w:t>
      </w:r>
      <w:r w:rsidRPr="006319C6">
        <w:rPr>
          <w:rStyle w:val="FootnoteReference"/>
          <w:rFonts w:ascii="Bookman Old Style" w:hAnsi="Bookman Old Style"/>
          <w:sz w:val="28"/>
          <w:szCs w:val="28"/>
        </w:rPr>
        <w:footnoteReference w:id="8"/>
      </w:r>
      <w:r w:rsidRPr="006319C6">
        <w:rPr>
          <w:rFonts w:ascii="Bookman Old Style" w:hAnsi="Bookman Old Style" w:cs="Times New Roman"/>
          <w:sz w:val="28"/>
          <w:szCs w:val="28"/>
        </w:rPr>
        <w:t xml:space="preserve">  </w:t>
      </w:r>
      <w:r w:rsidR="00CF61AA" w:rsidRPr="006319C6">
        <w:rPr>
          <w:rFonts w:ascii="Bookman Old Style" w:hAnsi="Bookman Old Style" w:cs="Times New Roman"/>
          <w:sz w:val="28"/>
          <w:szCs w:val="28"/>
        </w:rPr>
        <w:t xml:space="preserve">A </w:t>
      </w:r>
      <w:proofErr w:type="spellStart"/>
      <w:r w:rsidRPr="006319C6">
        <w:rPr>
          <w:rFonts w:ascii="Bookman Old Style" w:hAnsi="Bookman Old Style" w:cs="Times New Roman"/>
          <w:sz w:val="28"/>
          <w:szCs w:val="28"/>
        </w:rPr>
        <w:t>practitoner</w:t>
      </w:r>
      <w:proofErr w:type="spellEnd"/>
      <w:r w:rsidRPr="006319C6">
        <w:rPr>
          <w:rFonts w:ascii="Bookman Old Style" w:hAnsi="Bookman Old Style" w:cs="Times New Roman"/>
          <w:sz w:val="28"/>
          <w:szCs w:val="28"/>
        </w:rPr>
        <w:t xml:space="preserve"> at the international criminal tribunals</w:t>
      </w:r>
      <w:r w:rsidR="00CF61AA" w:rsidRPr="006319C6">
        <w:rPr>
          <w:rFonts w:ascii="Bookman Old Style" w:hAnsi="Bookman Old Style" w:cs="Times New Roman"/>
          <w:sz w:val="28"/>
          <w:szCs w:val="28"/>
        </w:rPr>
        <w:t xml:space="preserve"> has more recently argued</w:t>
      </w:r>
      <w:r w:rsidRPr="006319C6">
        <w:rPr>
          <w:rFonts w:ascii="Bookman Old Style" w:hAnsi="Bookman Old Style" w:cs="Times New Roman"/>
          <w:sz w:val="28"/>
          <w:szCs w:val="28"/>
        </w:rPr>
        <w:t xml:space="preserve"> that historical record “can only be a by-product of the trials where the emphasis must necessarily be in determining whether the Prosecution has established the guilt of the </w:t>
      </w:r>
      <w:r w:rsidR="00DF7441" w:rsidRPr="006319C6">
        <w:rPr>
          <w:rFonts w:ascii="Bookman Old Style" w:hAnsi="Bookman Old Style" w:cs="Times New Roman"/>
          <w:sz w:val="28"/>
          <w:szCs w:val="28"/>
        </w:rPr>
        <w:t>accused beyond reasonable doubt</w:t>
      </w:r>
      <w:r w:rsidRPr="006319C6">
        <w:rPr>
          <w:rFonts w:ascii="Bookman Old Style" w:hAnsi="Bookman Old Style" w:cs="Times New Roman"/>
          <w:sz w:val="28"/>
          <w:szCs w:val="28"/>
        </w:rPr>
        <w:t>”</w:t>
      </w:r>
      <w:r w:rsidR="00DF7441" w:rsidRPr="006319C6">
        <w:rPr>
          <w:rFonts w:ascii="Bookman Old Style" w:hAnsi="Bookman Old Style" w:cs="Times New Roman"/>
          <w:sz w:val="28"/>
          <w:szCs w:val="28"/>
        </w:rPr>
        <w:t>.</w:t>
      </w:r>
      <w:r w:rsidRPr="006319C6">
        <w:rPr>
          <w:rStyle w:val="FootnoteReference"/>
          <w:rFonts w:ascii="Bookman Old Style" w:hAnsi="Bookman Old Style"/>
          <w:sz w:val="28"/>
          <w:szCs w:val="28"/>
        </w:rPr>
        <w:footnoteReference w:id="9"/>
      </w:r>
      <w:r w:rsidRPr="006319C6">
        <w:rPr>
          <w:rFonts w:ascii="Bookman Old Style" w:hAnsi="Bookman Old Style" w:cs="Times New Roman"/>
          <w:sz w:val="28"/>
          <w:szCs w:val="28"/>
        </w:rPr>
        <w:t xml:space="preserve"> </w:t>
      </w:r>
    </w:p>
    <w:p w14:paraId="0F3B78B7" w14:textId="5E4D5E94" w:rsidR="00A9165D" w:rsidRPr="006319C6" w:rsidRDefault="003402BD" w:rsidP="00A9165D">
      <w:pPr>
        <w:pStyle w:val="Paragraph"/>
        <w:spacing w:before="0" w:after="0" w:line="240" w:lineRule="auto"/>
        <w:rPr>
          <w:rFonts w:ascii="Bookman Old Style" w:eastAsia="MS ??" w:hAnsi="Bookman Old Style"/>
          <w:iCs/>
          <w:color w:val="000000"/>
          <w:sz w:val="28"/>
          <w:szCs w:val="28"/>
          <w:lang w:val="en-GB"/>
        </w:rPr>
      </w:pPr>
      <w:r w:rsidRPr="006319C6">
        <w:rPr>
          <w:rFonts w:ascii="Bookman Old Style" w:eastAsiaTheme="minorEastAsia" w:hAnsi="Bookman Old Style"/>
          <w:sz w:val="28"/>
          <w:szCs w:val="28"/>
          <w:lang w:eastAsia="en-US"/>
        </w:rPr>
        <w:tab/>
      </w:r>
      <w:r w:rsidRPr="006319C6">
        <w:rPr>
          <w:rFonts w:ascii="Bookman Old Style" w:hAnsi="Bookman Old Style"/>
          <w:sz w:val="28"/>
          <w:szCs w:val="28"/>
        </w:rPr>
        <w:t xml:space="preserve">Their views stood in sharp contrast to the words uttered by </w:t>
      </w:r>
      <w:r w:rsidRPr="006319C6">
        <w:rPr>
          <w:rFonts w:ascii="Bookman Old Style" w:eastAsia="MS PGothic" w:hAnsi="Bookman Old Style"/>
          <w:sz w:val="28"/>
          <w:szCs w:val="28"/>
        </w:rPr>
        <w:t>Hartley Shawcross</w:t>
      </w:r>
      <w:r w:rsidR="00DF7441" w:rsidRPr="006319C6">
        <w:rPr>
          <w:rFonts w:ascii="Bookman Old Style" w:eastAsia="MS PGothic" w:hAnsi="Bookman Old Style"/>
          <w:sz w:val="28"/>
          <w:szCs w:val="28"/>
        </w:rPr>
        <w:t xml:space="preserve"> (1902-2003)</w:t>
      </w:r>
      <w:r w:rsidRPr="006319C6">
        <w:rPr>
          <w:rFonts w:ascii="Bookman Old Style" w:eastAsia="MS PGothic" w:hAnsi="Bookman Old Style"/>
          <w:sz w:val="28"/>
          <w:szCs w:val="28"/>
        </w:rPr>
        <w:t xml:space="preserve">, the </w:t>
      </w:r>
      <w:r w:rsidRPr="006319C6">
        <w:rPr>
          <w:rFonts w:ascii="Bookman Old Style" w:hAnsi="Bookman Old Style"/>
          <w:sz w:val="28"/>
          <w:szCs w:val="28"/>
        </w:rPr>
        <w:t xml:space="preserve">British Chief Prosecutor at the Nuremberg Tribunal who stated: </w:t>
      </w:r>
      <w:r w:rsidRPr="006319C6">
        <w:rPr>
          <w:rFonts w:ascii="Bookman Old Style" w:eastAsia="MS ??" w:hAnsi="Bookman Old Style"/>
          <w:iCs/>
          <w:color w:val="000000"/>
          <w:sz w:val="28"/>
          <w:szCs w:val="28"/>
          <w:lang w:val="en-GB"/>
        </w:rPr>
        <w:t>“[W]e believe that this Tribunal</w:t>
      </w:r>
      <w:r w:rsidR="00DF7441" w:rsidRPr="006319C6">
        <w:rPr>
          <w:rFonts w:ascii="Bookman Old Style" w:eastAsia="MS ??" w:hAnsi="Bookman Old Style"/>
          <w:iCs/>
          <w:color w:val="000000"/>
          <w:sz w:val="28"/>
          <w:szCs w:val="28"/>
          <w:lang w:val="en-GB"/>
        </w:rPr>
        <w:t xml:space="preserve"> </w:t>
      </w:r>
      <w:r w:rsidRPr="006319C6">
        <w:rPr>
          <w:rFonts w:ascii="Bookman Old Style" w:eastAsia="MS ??" w:hAnsi="Bookman Old Style"/>
          <w:iCs/>
          <w:color w:val="000000"/>
          <w:sz w:val="28"/>
          <w:szCs w:val="28"/>
          <w:lang w:val="en-GB"/>
        </w:rPr>
        <w:t xml:space="preserve">... </w:t>
      </w:r>
      <w:proofErr w:type="gramStart"/>
      <w:r w:rsidRPr="006319C6">
        <w:rPr>
          <w:rFonts w:ascii="Bookman Old Style" w:eastAsia="MS ??" w:hAnsi="Bookman Old Style"/>
          <w:iCs/>
          <w:color w:val="000000"/>
          <w:sz w:val="28"/>
          <w:szCs w:val="28"/>
          <w:lang w:val="en-GB"/>
        </w:rPr>
        <w:t>will</w:t>
      </w:r>
      <w:proofErr w:type="gramEnd"/>
      <w:r w:rsidRPr="006319C6">
        <w:rPr>
          <w:rFonts w:ascii="Bookman Old Style" w:eastAsia="MS ??" w:hAnsi="Bookman Old Style"/>
          <w:iCs/>
          <w:color w:val="000000"/>
          <w:sz w:val="28"/>
          <w:szCs w:val="28"/>
          <w:lang w:val="en-GB"/>
        </w:rPr>
        <w:t xml:space="preserve"> provide a contemporary touchstone and an authoritative and impartial record to which future historians may turn for truth, and</w:t>
      </w:r>
      <w:r w:rsidR="00DF7441" w:rsidRPr="006319C6">
        <w:rPr>
          <w:rFonts w:ascii="Bookman Old Style" w:eastAsia="MS ??" w:hAnsi="Bookman Old Style"/>
          <w:iCs/>
          <w:color w:val="000000"/>
          <w:sz w:val="28"/>
          <w:szCs w:val="28"/>
          <w:lang w:val="en-GB"/>
        </w:rPr>
        <w:t xml:space="preserve"> future politicians for warning</w:t>
      </w:r>
      <w:r w:rsidRPr="006319C6">
        <w:rPr>
          <w:rFonts w:ascii="Bookman Old Style" w:eastAsia="MS ??" w:hAnsi="Bookman Old Style"/>
          <w:iCs/>
          <w:color w:val="000000"/>
          <w:sz w:val="28"/>
          <w:szCs w:val="28"/>
          <w:lang w:val="en-GB"/>
        </w:rPr>
        <w:t>”</w:t>
      </w:r>
      <w:r w:rsidR="00DF7441" w:rsidRPr="006319C6">
        <w:rPr>
          <w:rFonts w:ascii="Bookman Old Style" w:eastAsia="MS ??" w:hAnsi="Bookman Old Style"/>
          <w:iCs/>
          <w:color w:val="000000"/>
          <w:sz w:val="28"/>
          <w:szCs w:val="28"/>
          <w:lang w:val="en-GB"/>
        </w:rPr>
        <w:t>.</w:t>
      </w:r>
      <w:r w:rsidRPr="006319C6">
        <w:rPr>
          <w:rStyle w:val="FootnoteReference"/>
          <w:rFonts w:ascii="Bookman Old Style" w:hAnsi="Bookman Old Style"/>
          <w:iCs/>
          <w:sz w:val="28"/>
          <w:szCs w:val="28"/>
          <w:lang w:val="en-GB"/>
        </w:rPr>
        <w:footnoteReference w:id="10"/>
      </w:r>
    </w:p>
    <w:p w14:paraId="6007342C" w14:textId="3DD73C9B" w:rsidR="00154A49" w:rsidRPr="006319C6" w:rsidRDefault="00715184" w:rsidP="00A9165D">
      <w:pPr>
        <w:pStyle w:val="Paragraph"/>
        <w:spacing w:before="0" w:after="0" w:line="240" w:lineRule="auto"/>
        <w:ind w:firstLine="720"/>
        <w:rPr>
          <w:rFonts w:ascii="Bookman Old Style" w:eastAsia="MS ??" w:hAnsi="Bookman Old Style"/>
          <w:iCs/>
          <w:color w:val="000000"/>
          <w:sz w:val="28"/>
          <w:szCs w:val="28"/>
          <w:lang w:val="en-GB"/>
        </w:rPr>
      </w:pPr>
      <w:r w:rsidRPr="006319C6">
        <w:rPr>
          <w:rFonts w:ascii="Bookman Old Style" w:hAnsi="Bookman Old Style"/>
          <w:sz w:val="28"/>
          <w:szCs w:val="28"/>
          <w:lang w:val="en-GB"/>
        </w:rPr>
        <w:t>A</w:t>
      </w:r>
      <w:r w:rsidR="003402BD" w:rsidRPr="006319C6">
        <w:rPr>
          <w:rFonts w:ascii="Bookman Old Style" w:hAnsi="Bookman Old Style"/>
          <w:sz w:val="28"/>
          <w:szCs w:val="28"/>
        </w:rPr>
        <w:t xml:space="preserve"> growing consensus</w:t>
      </w:r>
      <w:r w:rsidRPr="006319C6">
        <w:rPr>
          <w:rFonts w:ascii="Bookman Old Style" w:hAnsi="Bookman Old Style"/>
          <w:sz w:val="28"/>
          <w:szCs w:val="28"/>
        </w:rPr>
        <w:t xml:space="preserve"> is in evidence</w:t>
      </w:r>
      <w:r w:rsidR="003402BD" w:rsidRPr="006319C6">
        <w:rPr>
          <w:rFonts w:ascii="Bookman Old Style" w:hAnsi="Bookman Old Style"/>
          <w:sz w:val="28"/>
          <w:szCs w:val="28"/>
        </w:rPr>
        <w:t xml:space="preserve"> among scholars across different fields in accepting the complementarity between legal and extralegal purposes of mass a</w:t>
      </w:r>
      <w:r w:rsidRPr="006319C6">
        <w:rPr>
          <w:rFonts w:ascii="Bookman Old Style" w:hAnsi="Bookman Old Style"/>
          <w:sz w:val="28"/>
          <w:szCs w:val="28"/>
        </w:rPr>
        <w:t xml:space="preserve">trocities trials. </w:t>
      </w:r>
      <w:r w:rsidR="003402BD" w:rsidRPr="006319C6">
        <w:rPr>
          <w:rFonts w:ascii="Bookman Old Style" w:hAnsi="Bookman Old Style"/>
          <w:sz w:val="28"/>
          <w:szCs w:val="28"/>
        </w:rPr>
        <w:t xml:space="preserve">Lawrence Douglas has introduced the term </w:t>
      </w:r>
      <w:r w:rsidR="00806E59" w:rsidRPr="006319C6">
        <w:rPr>
          <w:rFonts w:ascii="Bookman Old Style" w:hAnsi="Bookman Old Style"/>
          <w:sz w:val="28"/>
          <w:szCs w:val="28"/>
        </w:rPr>
        <w:t>“</w:t>
      </w:r>
      <w:r w:rsidR="003402BD" w:rsidRPr="006319C6">
        <w:rPr>
          <w:rFonts w:ascii="Bookman Old Style" w:hAnsi="Bookman Old Style"/>
          <w:sz w:val="28"/>
          <w:szCs w:val="28"/>
        </w:rPr>
        <w:t>didactic legality</w:t>
      </w:r>
      <w:r w:rsidR="00806E59" w:rsidRPr="006319C6">
        <w:rPr>
          <w:rFonts w:ascii="Bookman Old Style" w:hAnsi="Bookman Old Style"/>
          <w:sz w:val="28"/>
          <w:szCs w:val="28"/>
        </w:rPr>
        <w:t>”</w:t>
      </w:r>
      <w:r w:rsidR="003402BD" w:rsidRPr="006319C6">
        <w:rPr>
          <w:rFonts w:ascii="Bookman Old Style" w:hAnsi="Bookman Old Style"/>
          <w:sz w:val="28"/>
          <w:szCs w:val="28"/>
        </w:rPr>
        <w:t>, arguing that trials of</w:t>
      </w:r>
      <w:r w:rsidRPr="006319C6">
        <w:rPr>
          <w:rFonts w:ascii="Bookman Old Style" w:hAnsi="Bookman Old Style"/>
          <w:sz w:val="28"/>
          <w:szCs w:val="28"/>
        </w:rPr>
        <w:t xml:space="preserve"> the Holocaust blurred the </w:t>
      </w:r>
      <w:r w:rsidR="003402BD" w:rsidRPr="006319C6">
        <w:rPr>
          <w:rFonts w:ascii="Bookman Old Style" w:hAnsi="Bookman Old Style"/>
          <w:sz w:val="28"/>
          <w:szCs w:val="28"/>
        </w:rPr>
        <w:t>boundary between the legal and extralegal.</w:t>
      </w:r>
      <w:r w:rsidR="003402BD" w:rsidRPr="006319C6">
        <w:rPr>
          <w:rStyle w:val="FootnoteReference"/>
          <w:rFonts w:ascii="Bookman Old Style" w:hAnsi="Bookman Old Style"/>
          <w:sz w:val="28"/>
          <w:szCs w:val="28"/>
        </w:rPr>
        <w:footnoteReference w:id="11"/>
      </w:r>
      <w:r w:rsidRPr="006319C6">
        <w:rPr>
          <w:rFonts w:ascii="Bookman Old Style" w:hAnsi="Bookman Old Style"/>
          <w:sz w:val="28"/>
          <w:szCs w:val="28"/>
        </w:rPr>
        <w:t xml:space="preserve"> While recogniz</w:t>
      </w:r>
      <w:r w:rsidR="003402BD" w:rsidRPr="006319C6">
        <w:rPr>
          <w:rFonts w:ascii="Bookman Old Style" w:hAnsi="Bookman Old Style"/>
          <w:sz w:val="28"/>
          <w:szCs w:val="28"/>
        </w:rPr>
        <w:t xml:space="preserve">ing that the primary responsibility of a criminal trial is to resolve questions of guilt in a procedurally fair manner, Douglas advocates </w:t>
      </w:r>
      <w:r w:rsidRPr="006319C6">
        <w:rPr>
          <w:rFonts w:ascii="Bookman Old Style" w:hAnsi="Bookman Old Style"/>
          <w:sz w:val="28"/>
          <w:szCs w:val="28"/>
        </w:rPr>
        <w:t xml:space="preserve">the </w:t>
      </w:r>
      <w:r w:rsidR="003402BD" w:rsidRPr="006319C6">
        <w:rPr>
          <w:rFonts w:ascii="Bookman Old Style" w:hAnsi="Bookman Old Style"/>
          <w:sz w:val="28"/>
          <w:szCs w:val="28"/>
        </w:rPr>
        <w:t xml:space="preserve">integration of the legal and extralegal </w:t>
      </w:r>
      <w:r w:rsidR="003402BD" w:rsidRPr="006319C6">
        <w:rPr>
          <w:rFonts w:ascii="Bookman Old Style" w:hAnsi="Bookman Old Style"/>
          <w:sz w:val="28"/>
          <w:szCs w:val="28"/>
        </w:rPr>
        <w:lastRenderedPageBreak/>
        <w:t>purposes of mass atrocities trials.</w:t>
      </w:r>
      <w:r w:rsidR="003402BD" w:rsidRPr="006319C6">
        <w:rPr>
          <w:rStyle w:val="FootnoteReference"/>
          <w:rFonts w:ascii="Bookman Old Style" w:hAnsi="Bookman Old Style"/>
          <w:sz w:val="28"/>
          <w:szCs w:val="28"/>
        </w:rPr>
        <w:footnoteReference w:id="12"/>
      </w:r>
      <w:r w:rsidR="003402BD" w:rsidRPr="006319C6">
        <w:rPr>
          <w:rStyle w:val="FootnoteReference"/>
          <w:rFonts w:ascii="Bookman Old Style" w:hAnsi="Bookman Old Style"/>
          <w:sz w:val="28"/>
          <w:szCs w:val="28"/>
        </w:rPr>
        <w:t xml:space="preserve"> </w:t>
      </w:r>
      <w:r w:rsidR="003402BD" w:rsidRPr="006319C6">
        <w:rPr>
          <w:rFonts w:ascii="Bookman Old Style" w:hAnsi="Bookman Old Style"/>
          <w:sz w:val="28"/>
          <w:szCs w:val="28"/>
        </w:rPr>
        <w:t>Bilsky warns against compartmentalising the discussion into the legal versus the histo</w:t>
      </w:r>
      <w:r w:rsidR="00092D26" w:rsidRPr="006319C6">
        <w:rPr>
          <w:rFonts w:ascii="Bookman Old Style" w:hAnsi="Bookman Old Style"/>
          <w:sz w:val="28"/>
          <w:szCs w:val="28"/>
        </w:rPr>
        <w:t>rical. In her view, this polariz</w:t>
      </w:r>
      <w:r w:rsidR="003402BD" w:rsidRPr="006319C6">
        <w:rPr>
          <w:rFonts w:ascii="Bookman Old Style" w:hAnsi="Bookman Old Style"/>
          <w:sz w:val="28"/>
          <w:szCs w:val="28"/>
        </w:rPr>
        <w:t xml:space="preserve">ation distracts from the fact that a </w:t>
      </w:r>
      <w:r w:rsidR="003402BD" w:rsidRPr="006319C6">
        <w:rPr>
          <w:rFonts w:ascii="Bookman Old Style" w:hAnsi="Bookman Old Style"/>
          <w:i/>
          <w:sz w:val="28"/>
          <w:szCs w:val="28"/>
        </w:rPr>
        <w:t>transformative</w:t>
      </w:r>
      <w:r w:rsidR="003402BD" w:rsidRPr="006319C6">
        <w:rPr>
          <w:rFonts w:ascii="Bookman Old Style" w:hAnsi="Bookman Old Style"/>
          <w:sz w:val="28"/>
          <w:szCs w:val="28"/>
        </w:rPr>
        <w:t xml:space="preserve"> trial</w:t>
      </w:r>
      <w:r w:rsidR="00422A24" w:rsidRPr="006319C6">
        <w:rPr>
          <w:rFonts w:ascii="Bookman Old Style" w:hAnsi="Bookman Old Style"/>
          <w:sz w:val="28"/>
          <w:szCs w:val="28"/>
        </w:rPr>
        <w:t xml:space="preserve"> should “fulfil an essential function in a democratic society by exposing the hegemonic narrative of identity to critical consideration.”</w:t>
      </w:r>
      <w:r w:rsidR="00422A24" w:rsidRPr="006319C6">
        <w:rPr>
          <w:rStyle w:val="FootnoteReference"/>
          <w:rFonts w:ascii="Bookman Old Style" w:hAnsi="Bookman Old Style"/>
          <w:sz w:val="28"/>
          <w:szCs w:val="28"/>
        </w:rPr>
        <w:footnoteReference w:id="13"/>
      </w:r>
      <w:r w:rsidR="00422A24" w:rsidRPr="006319C6">
        <w:rPr>
          <w:rFonts w:ascii="Bookman Old Style" w:hAnsi="Bookman Old Style"/>
          <w:sz w:val="28"/>
          <w:szCs w:val="28"/>
        </w:rPr>
        <w:t xml:space="preserve"> </w:t>
      </w:r>
      <w:r w:rsidR="003402BD" w:rsidRPr="006319C6">
        <w:rPr>
          <w:rFonts w:ascii="Bookman Old Style" w:hAnsi="Bookman Old Style"/>
          <w:sz w:val="28"/>
          <w:szCs w:val="28"/>
        </w:rPr>
        <w:t>Bilsky sees transformative trials as placed somewhere between the political and the legal.</w:t>
      </w:r>
      <w:r w:rsidR="003402BD" w:rsidRPr="006319C6">
        <w:rPr>
          <w:rStyle w:val="FootnoteReference"/>
          <w:rFonts w:ascii="Bookman Old Style" w:hAnsi="Bookman Old Style"/>
          <w:sz w:val="28"/>
          <w:szCs w:val="28"/>
        </w:rPr>
        <w:footnoteReference w:id="14"/>
      </w:r>
      <w:r w:rsidR="00092D26" w:rsidRPr="006319C6">
        <w:rPr>
          <w:rFonts w:ascii="Bookman Old Style" w:hAnsi="Bookman Old Style"/>
          <w:sz w:val="28"/>
          <w:szCs w:val="28"/>
        </w:rPr>
        <w:t xml:space="preserve"> On </w:t>
      </w:r>
      <w:r w:rsidR="003402BD" w:rsidRPr="006319C6">
        <w:rPr>
          <w:rFonts w:ascii="Bookman Old Style" w:hAnsi="Bookman Old Style"/>
          <w:sz w:val="28"/>
          <w:szCs w:val="28"/>
        </w:rPr>
        <w:t>one hand, she argues, a transformative trial has to remain loyal to the basic liberal values of the rule of law, and</w:t>
      </w:r>
      <w:r w:rsidR="00CF61AA" w:rsidRPr="006319C6">
        <w:rPr>
          <w:rFonts w:ascii="Bookman Old Style" w:hAnsi="Bookman Old Style"/>
          <w:sz w:val="28"/>
          <w:szCs w:val="28"/>
        </w:rPr>
        <w:t>,</w:t>
      </w:r>
      <w:r w:rsidR="003402BD" w:rsidRPr="006319C6">
        <w:rPr>
          <w:rFonts w:ascii="Bookman Old Style" w:hAnsi="Bookman Old Style"/>
          <w:sz w:val="28"/>
          <w:szCs w:val="28"/>
        </w:rPr>
        <w:t xml:space="preserve"> on the other hand</w:t>
      </w:r>
      <w:r w:rsidR="00CF61AA" w:rsidRPr="006319C6">
        <w:rPr>
          <w:rFonts w:ascii="Bookman Old Style" w:hAnsi="Bookman Old Style"/>
          <w:sz w:val="28"/>
          <w:szCs w:val="28"/>
        </w:rPr>
        <w:t>,</w:t>
      </w:r>
      <w:r w:rsidR="003402BD" w:rsidRPr="006319C6">
        <w:rPr>
          <w:rFonts w:ascii="Bookman Old Style" w:hAnsi="Bookman Old Style"/>
          <w:sz w:val="28"/>
          <w:szCs w:val="28"/>
        </w:rPr>
        <w:t xml:space="preserve"> it performs a unique function as a legal forum in which society’s fundamental values can be examined in the light of competing counter narratives as presented in the courtroom.</w:t>
      </w:r>
      <w:r w:rsidR="003402BD" w:rsidRPr="006319C6">
        <w:rPr>
          <w:rStyle w:val="FootnoteReference"/>
          <w:rFonts w:ascii="Bookman Old Style" w:hAnsi="Bookman Old Style"/>
          <w:sz w:val="28"/>
          <w:szCs w:val="28"/>
        </w:rPr>
        <w:footnoteReference w:id="15"/>
      </w:r>
    </w:p>
    <w:p w14:paraId="35355B69" w14:textId="77777777" w:rsidR="009E1765" w:rsidRPr="006319C6" w:rsidRDefault="003402BD" w:rsidP="00A9165D">
      <w:pPr>
        <w:pStyle w:val="Paragraph"/>
        <w:spacing w:before="0" w:after="0" w:line="240" w:lineRule="auto"/>
        <w:ind w:firstLine="720"/>
        <w:rPr>
          <w:rFonts w:ascii="Bookman Old Style" w:hAnsi="Bookman Old Style"/>
          <w:sz w:val="28"/>
          <w:szCs w:val="28"/>
          <w:lang w:val="en-GB"/>
        </w:rPr>
      </w:pPr>
      <w:r w:rsidRPr="006319C6">
        <w:rPr>
          <w:rFonts w:ascii="Bookman Old Style" w:hAnsi="Bookman Old Style"/>
          <w:sz w:val="28"/>
          <w:szCs w:val="28"/>
        </w:rPr>
        <w:t xml:space="preserve">But what is the relationship between legal and historical truth; between legal and historical justice; and between legal and historical narrative? Does historical justice exist at all? </w:t>
      </w:r>
      <w:proofErr w:type="spellStart"/>
      <w:r w:rsidRPr="006319C6">
        <w:rPr>
          <w:rFonts w:ascii="Bookman Old Style" w:hAnsi="Bookman Old Style"/>
          <w:sz w:val="28"/>
          <w:szCs w:val="28"/>
          <w:lang w:val="en-GB"/>
        </w:rPr>
        <w:t>Teitel</w:t>
      </w:r>
      <w:proofErr w:type="spellEnd"/>
      <w:r w:rsidRPr="006319C6">
        <w:rPr>
          <w:rFonts w:ascii="Bookman Old Style" w:hAnsi="Bookman Old Style"/>
          <w:sz w:val="28"/>
          <w:szCs w:val="28"/>
          <w:lang w:val="en-GB"/>
        </w:rPr>
        <w:t xml:space="preserve"> lists five conceptions of justice: criminal justice, historical justice, reparatory </w:t>
      </w:r>
    </w:p>
    <w:p w14:paraId="50319C24" w14:textId="5B00AB34" w:rsidR="003402BD" w:rsidRPr="006319C6" w:rsidRDefault="003402BD" w:rsidP="009E1765">
      <w:pPr>
        <w:pStyle w:val="Paragraph"/>
        <w:spacing w:before="0" w:after="0" w:line="240" w:lineRule="auto"/>
        <w:rPr>
          <w:rFonts w:ascii="Bookman Old Style" w:hAnsi="Bookman Old Style"/>
          <w:sz w:val="28"/>
          <w:szCs w:val="28"/>
        </w:rPr>
      </w:pPr>
      <w:proofErr w:type="gramStart"/>
      <w:r w:rsidRPr="006319C6">
        <w:rPr>
          <w:rFonts w:ascii="Bookman Old Style" w:hAnsi="Bookman Old Style"/>
          <w:sz w:val="28"/>
          <w:szCs w:val="28"/>
          <w:lang w:val="en-GB"/>
        </w:rPr>
        <w:t>justice</w:t>
      </w:r>
      <w:proofErr w:type="gramEnd"/>
      <w:r w:rsidRPr="006319C6">
        <w:rPr>
          <w:rFonts w:ascii="Bookman Old Style" w:hAnsi="Bookman Old Style"/>
          <w:sz w:val="28"/>
          <w:szCs w:val="28"/>
          <w:lang w:val="en-GB"/>
        </w:rPr>
        <w:t>, administrative justice, and constitutional justice.</w:t>
      </w:r>
      <w:r w:rsidRPr="006319C6">
        <w:rPr>
          <w:rStyle w:val="FootnoteReference"/>
          <w:rFonts w:ascii="Bookman Old Style" w:hAnsi="Bookman Old Style"/>
          <w:sz w:val="28"/>
          <w:szCs w:val="28"/>
          <w:lang w:val="en-GB"/>
        </w:rPr>
        <w:footnoteReference w:id="16"/>
      </w:r>
      <w:r w:rsidRPr="006319C6">
        <w:rPr>
          <w:rFonts w:ascii="Bookman Old Style" w:hAnsi="Bookman Old Style"/>
          <w:sz w:val="28"/>
          <w:szCs w:val="28"/>
          <w:lang w:val="en-GB"/>
        </w:rPr>
        <w:t xml:space="preserve"> She argues that the pursuit of historical truth is embedded in a framework of accountability and in the pursuit of justice, to which criminal trials contribute.</w:t>
      </w:r>
      <w:r w:rsidRPr="006319C6">
        <w:rPr>
          <w:rStyle w:val="FootnoteReference"/>
          <w:rFonts w:ascii="Bookman Old Style" w:hAnsi="Bookman Old Style"/>
          <w:sz w:val="28"/>
          <w:szCs w:val="28"/>
          <w:lang w:val="en-GB"/>
        </w:rPr>
        <w:footnoteReference w:id="17"/>
      </w:r>
      <w:r w:rsidRPr="006319C6">
        <w:rPr>
          <w:rFonts w:ascii="Bookman Old Style" w:hAnsi="Bookman Old Style"/>
          <w:sz w:val="28"/>
          <w:szCs w:val="28"/>
          <w:lang w:val="en-GB"/>
        </w:rPr>
        <w:t xml:space="preserve"> In defining historical justice, </w:t>
      </w:r>
      <w:proofErr w:type="spellStart"/>
      <w:r w:rsidRPr="006319C6">
        <w:rPr>
          <w:rFonts w:ascii="Bookman Old Style" w:hAnsi="Bookman Old Style"/>
          <w:sz w:val="28"/>
          <w:szCs w:val="28"/>
          <w:lang w:val="en-GB"/>
        </w:rPr>
        <w:t>Teitel</w:t>
      </w:r>
      <w:proofErr w:type="spellEnd"/>
      <w:r w:rsidRPr="006319C6">
        <w:rPr>
          <w:rFonts w:ascii="Bookman Old Style" w:hAnsi="Bookman Old Style"/>
          <w:sz w:val="28"/>
          <w:szCs w:val="28"/>
          <w:lang w:val="en-GB"/>
        </w:rPr>
        <w:t xml:space="preserve"> applies the Enlightenment view, in which history is considered teacher and judge</w:t>
      </w:r>
      <w:r w:rsidR="002650E5" w:rsidRPr="006319C6">
        <w:rPr>
          <w:rFonts w:ascii="Bookman Old Style" w:hAnsi="Bookman Old Style"/>
          <w:sz w:val="28"/>
          <w:szCs w:val="28"/>
          <w:lang w:val="en-GB"/>
        </w:rPr>
        <w:t>,</w:t>
      </w:r>
      <w:r w:rsidRPr="006319C6">
        <w:rPr>
          <w:rFonts w:ascii="Bookman Old Style" w:hAnsi="Bookman Old Style"/>
          <w:sz w:val="28"/>
          <w:szCs w:val="28"/>
          <w:lang w:val="en-GB"/>
        </w:rPr>
        <w:t xml:space="preserve"> and historical truth is equated with justice.</w:t>
      </w:r>
      <w:r w:rsidRPr="006319C6">
        <w:rPr>
          <w:rStyle w:val="FootnoteReference"/>
          <w:rFonts w:ascii="Bookman Old Style" w:hAnsi="Bookman Old Style"/>
          <w:sz w:val="28"/>
          <w:szCs w:val="28"/>
          <w:lang w:val="en-GB"/>
        </w:rPr>
        <w:footnoteReference w:id="18"/>
      </w:r>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Teitel</w:t>
      </w:r>
      <w:proofErr w:type="spellEnd"/>
      <w:r w:rsidRPr="006319C6">
        <w:rPr>
          <w:rFonts w:ascii="Bookman Old Style" w:hAnsi="Bookman Old Style"/>
          <w:sz w:val="28"/>
          <w:szCs w:val="28"/>
          <w:lang w:val="en-GB"/>
        </w:rPr>
        <w:t xml:space="preserve"> cautions that when history takes its “interpretative turn”</w:t>
      </w:r>
      <w:r w:rsidR="00620807" w:rsidRPr="006319C6">
        <w:rPr>
          <w:rFonts w:ascii="Bookman Old Style" w:hAnsi="Bookman Old Style"/>
          <w:sz w:val="28"/>
          <w:szCs w:val="28"/>
          <w:lang w:val="en-GB"/>
        </w:rPr>
        <w:t>,</w:t>
      </w:r>
      <w:r w:rsidRPr="006319C6">
        <w:rPr>
          <w:rFonts w:ascii="Bookman Old Style" w:hAnsi="Bookman Old Style"/>
          <w:sz w:val="28"/>
          <w:szCs w:val="28"/>
          <w:lang w:val="en-GB"/>
        </w:rPr>
        <w:t xml:space="preserve"> there is no single, clear, and determinate understanding or lesson to draw from the past.</w:t>
      </w:r>
      <w:r w:rsidR="00620807" w:rsidRPr="006319C6">
        <w:rPr>
          <w:rFonts w:ascii="Bookman Old Style" w:hAnsi="Bookman Old Style"/>
          <w:sz w:val="28"/>
          <w:szCs w:val="28"/>
          <w:lang w:val="en-GB"/>
        </w:rPr>
        <w:t xml:space="preserve"> Instead, one must recogniz</w:t>
      </w:r>
      <w:r w:rsidRPr="006319C6">
        <w:rPr>
          <w:rFonts w:ascii="Bookman Old Style" w:hAnsi="Bookman Old Style"/>
          <w:sz w:val="28"/>
          <w:szCs w:val="28"/>
          <w:lang w:val="en-GB"/>
        </w:rPr>
        <w:t>e the degree to which historical understanding depends on political and social contingencies.</w:t>
      </w:r>
      <w:r w:rsidRPr="006319C6">
        <w:rPr>
          <w:rStyle w:val="FootnoteReference"/>
          <w:rFonts w:ascii="Bookman Old Style" w:hAnsi="Bookman Old Style"/>
          <w:sz w:val="28"/>
          <w:szCs w:val="28"/>
          <w:lang w:val="en-GB"/>
        </w:rPr>
        <w:footnoteReference w:id="19"/>
      </w:r>
      <w:r w:rsidRPr="006319C6">
        <w:rPr>
          <w:rFonts w:ascii="Bookman Old Style" w:hAnsi="Bookman Old Style"/>
          <w:sz w:val="28"/>
          <w:szCs w:val="28"/>
          <w:lang w:val="en-GB"/>
        </w:rPr>
        <w:t xml:space="preserve"> </w:t>
      </w:r>
      <w:r w:rsidRPr="006319C6">
        <w:rPr>
          <w:rFonts w:ascii="Bookman Old Style" w:hAnsi="Bookman Old Style"/>
          <w:sz w:val="28"/>
          <w:szCs w:val="28"/>
        </w:rPr>
        <w:t>Should we look for one single truth and one authoritative historical narrative about past abuses at all? Or is it realistic to expect that many versions of a troubled and complex past will always (</w:t>
      </w:r>
      <w:r w:rsidR="006E4136" w:rsidRPr="006319C6">
        <w:rPr>
          <w:rFonts w:ascii="Bookman Old Style" w:hAnsi="Bookman Old Style"/>
          <w:sz w:val="28"/>
          <w:szCs w:val="28"/>
        </w:rPr>
        <w:t>c</w:t>
      </w:r>
      <w:r w:rsidRPr="006319C6">
        <w:rPr>
          <w:rFonts w:ascii="Bookman Old Style" w:hAnsi="Bookman Old Style"/>
          <w:sz w:val="28"/>
          <w:szCs w:val="28"/>
        </w:rPr>
        <w:t xml:space="preserve">o)exist with or without trial archives? </w:t>
      </w:r>
    </w:p>
    <w:p w14:paraId="3BCC6F8F" w14:textId="1CA99A3A" w:rsidR="00154A49" w:rsidRPr="006319C6" w:rsidRDefault="00154A49" w:rsidP="00CC1447">
      <w:pPr>
        <w:jc w:val="both"/>
        <w:rPr>
          <w:rFonts w:ascii="Bookman Old Style" w:hAnsi="Bookman Old Style" w:cs="Times New Roman"/>
          <w:i/>
          <w:sz w:val="28"/>
          <w:szCs w:val="28"/>
        </w:rPr>
      </w:pPr>
      <w:r w:rsidRPr="006319C6">
        <w:rPr>
          <w:rFonts w:ascii="Bookman Old Style" w:hAnsi="Bookman Old Style" w:cs="Times New Roman"/>
          <w:b/>
          <w:i/>
          <w:sz w:val="28"/>
          <w:szCs w:val="28"/>
        </w:rPr>
        <w:tab/>
      </w:r>
    </w:p>
    <w:p w14:paraId="41B9A480" w14:textId="75CF4B57" w:rsidR="00AC3EFA" w:rsidRPr="006319C6" w:rsidRDefault="00D435DA" w:rsidP="00D435DA">
      <w:pPr>
        <w:ind w:firstLine="720"/>
        <w:jc w:val="center"/>
        <w:rPr>
          <w:rFonts w:ascii="Bookman Old Style" w:hAnsi="Bookman Old Style" w:cs="Times New Roman"/>
          <w:sz w:val="28"/>
          <w:szCs w:val="28"/>
        </w:rPr>
      </w:pPr>
      <w:r w:rsidRPr="006319C6">
        <w:rPr>
          <w:rFonts w:ascii="Bookman Old Style" w:hAnsi="Bookman Old Style" w:cs="Times New Roman"/>
          <w:sz w:val="28"/>
          <w:szCs w:val="28"/>
        </w:rPr>
        <w:lastRenderedPageBreak/>
        <w:t>MASS ATROCITIES TRIALS, TRUTH, HISTORICAL RECORD, AND HISTORICAL NARRATIVE</w:t>
      </w:r>
    </w:p>
    <w:p w14:paraId="3DE78E94" w14:textId="77777777" w:rsidR="00AC3EFA" w:rsidRPr="006319C6" w:rsidRDefault="00AC3EFA" w:rsidP="00AC3EFA">
      <w:pPr>
        <w:ind w:firstLine="720"/>
        <w:jc w:val="both"/>
        <w:rPr>
          <w:rFonts w:ascii="Bookman Old Style" w:hAnsi="Bookman Old Style" w:cs="Times New Roman"/>
          <w:sz w:val="28"/>
          <w:szCs w:val="28"/>
        </w:rPr>
      </w:pPr>
    </w:p>
    <w:p w14:paraId="4A3E9FAF" w14:textId="27811808" w:rsidR="003402BD" w:rsidRPr="006319C6" w:rsidRDefault="00AC3EFA" w:rsidP="00D435DA">
      <w:pPr>
        <w:jc w:val="both"/>
        <w:rPr>
          <w:rFonts w:ascii="Bookman Old Style" w:hAnsi="Bookman Old Style" w:cs="Times New Roman"/>
          <w:sz w:val="28"/>
          <w:szCs w:val="28"/>
        </w:rPr>
      </w:pPr>
      <w:r w:rsidRPr="006319C6">
        <w:rPr>
          <w:rFonts w:ascii="Bookman Old Style" w:eastAsia="Times New Roman" w:hAnsi="Bookman Old Style" w:cs="Times New Roman"/>
          <w:b/>
          <w:iCs/>
          <w:color w:val="000000"/>
          <w:sz w:val="28"/>
          <w:szCs w:val="28"/>
          <w:lang w:val="nl-NL" w:eastAsia="en-GB"/>
        </w:rPr>
        <w:t>Limitations of Ad</w:t>
      </w:r>
      <w:r w:rsidR="003402BD" w:rsidRPr="006319C6">
        <w:rPr>
          <w:rFonts w:ascii="Bookman Old Style" w:eastAsia="Times New Roman" w:hAnsi="Bookman Old Style" w:cs="Times New Roman"/>
          <w:b/>
          <w:iCs/>
          <w:color w:val="000000"/>
          <w:sz w:val="28"/>
          <w:szCs w:val="28"/>
          <w:lang w:val="nl-NL" w:eastAsia="en-GB"/>
        </w:rPr>
        <w:t>versarial Legal System</w:t>
      </w:r>
      <w:r w:rsidR="00154A49" w:rsidRPr="006319C6">
        <w:rPr>
          <w:rFonts w:ascii="Bookman Old Style" w:eastAsia="Times New Roman" w:hAnsi="Bookman Old Style" w:cs="Times New Roman"/>
          <w:b/>
          <w:iCs/>
          <w:color w:val="000000"/>
          <w:sz w:val="28"/>
          <w:szCs w:val="28"/>
          <w:lang w:val="nl-NL" w:eastAsia="en-GB"/>
        </w:rPr>
        <w:t>s</w:t>
      </w:r>
      <w:r w:rsidR="003402BD" w:rsidRPr="006319C6">
        <w:rPr>
          <w:rFonts w:ascii="Bookman Old Style" w:eastAsia="Times New Roman" w:hAnsi="Bookman Old Style" w:cs="Times New Roman"/>
          <w:b/>
          <w:iCs/>
          <w:color w:val="000000"/>
          <w:sz w:val="28"/>
          <w:szCs w:val="28"/>
          <w:lang w:val="nl-NL" w:eastAsia="en-GB"/>
        </w:rPr>
        <w:t xml:space="preserve"> to Produce the Truth: </w:t>
      </w:r>
      <w:r w:rsidR="00154A49" w:rsidRPr="006319C6">
        <w:rPr>
          <w:rFonts w:ascii="Bookman Old Style" w:eastAsia="Times New Roman" w:hAnsi="Bookman Old Style" w:cs="Times New Roman"/>
          <w:b/>
          <w:iCs/>
          <w:color w:val="000000"/>
          <w:sz w:val="28"/>
          <w:szCs w:val="28"/>
          <w:lang w:val="nl-NL" w:eastAsia="en-GB"/>
        </w:rPr>
        <w:t>“</w:t>
      </w:r>
      <w:r w:rsidR="003402BD" w:rsidRPr="006319C6">
        <w:rPr>
          <w:rFonts w:ascii="Bookman Old Style" w:eastAsia="Times New Roman" w:hAnsi="Bookman Old Style" w:cs="Times New Roman"/>
          <w:b/>
          <w:iCs/>
          <w:color w:val="000000"/>
          <w:sz w:val="28"/>
          <w:szCs w:val="28"/>
          <w:lang w:eastAsia="en-GB"/>
        </w:rPr>
        <w:t>Trial Truth</w:t>
      </w:r>
      <w:r w:rsidR="00154A49" w:rsidRPr="006319C6">
        <w:rPr>
          <w:rFonts w:ascii="Bookman Old Style" w:eastAsia="Times New Roman" w:hAnsi="Bookman Old Style" w:cs="Times New Roman"/>
          <w:b/>
          <w:iCs/>
          <w:color w:val="000000"/>
          <w:sz w:val="28"/>
          <w:szCs w:val="28"/>
          <w:lang w:eastAsia="en-GB"/>
        </w:rPr>
        <w:t>”</w:t>
      </w:r>
      <w:r w:rsidR="003402BD" w:rsidRPr="006319C6">
        <w:rPr>
          <w:rFonts w:ascii="Bookman Old Style" w:eastAsia="Times New Roman" w:hAnsi="Bookman Old Style" w:cs="Times New Roman"/>
          <w:b/>
          <w:iCs/>
          <w:color w:val="000000"/>
          <w:sz w:val="28"/>
          <w:szCs w:val="28"/>
          <w:lang w:eastAsia="en-GB"/>
        </w:rPr>
        <w:t xml:space="preserve"> </w:t>
      </w:r>
      <w:proofErr w:type="spellStart"/>
      <w:r w:rsidR="003402BD" w:rsidRPr="006319C6">
        <w:rPr>
          <w:rFonts w:ascii="Bookman Old Style" w:eastAsia="Times New Roman" w:hAnsi="Bookman Old Style" w:cs="Times New Roman"/>
          <w:b/>
          <w:iCs/>
          <w:color w:val="000000"/>
          <w:sz w:val="28"/>
          <w:szCs w:val="28"/>
          <w:lang w:eastAsia="en-GB"/>
        </w:rPr>
        <w:t>vs</w:t>
      </w:r>
      <w:proofErr w:type="spellEnd"/>
      <w:r w:rsidR="003402BD" w:rsidRPr="006319C6">
        <w:rPr>
          <w:rFonts w:ascii="Bookman Old Style" w:eastAsia="Times New Roman" w:hAnsi="Bookman Old Style" w:cs="Times New Roman"/>
          <w:b/>
          <w:iCs/>
          <w:color w:val="000000"/>
          <w:sz w:val="28"/>
          <w:szCs w:val="28"/>
          <w:lang w:eastAsia="en-GB"/>
        </w:rPr>
        <w:t xml:space="preserve"> </w:t>
      </w:r>
      <w:r w:rsidR="00154A49" w:rsidRPr="006319C6">
        <w:rPr>
          <w:rFonts w:ascii="Bookman Old Style" w:eastAsia="Times New Roman" w:hAnsi="Bookman Old Style" w:cs="Times New Roman"/>
          <w:b/>
          <w:iCs/>
          <w:color w:val="000000"/>
          <w:sz w:val="28"/>
          <w:szCs w:val="28"/>
          <w:lang w:eastAsia="en-GB"/>
        </w:rPr>
        <w:t>“</w:t>
      </w:r>
      <w:r w:rsidR="003402BD" w:rsidRPr="006319C6">
        <w:rPr>
          <w:rFonts w:ascii="Bookman Old Style" w:eastAsia="Times New Roman" w:hAnsi="Bookman Old Style" w:cs="Times New Roman"/>
          <w:b/>
          <w:iCs/>
          <w:color w:val="000000"/>
          <w:sz w:val="28"/>
          <w:szCs w:val="28"/>
          <w:lang w:eastAsia="en-GB"/>
        </w:rPr>
        <w:t>Real Truth</w:t>
      </w:r>
      <w:r w:rsidR="00154A49" w:rsidRPr="006319C6">
        <w:rPr>
          <w:rFonts w:ascii="Bookman Old Style" w:eastAsia="Times New Roman" w:hAnsi="Bookman Old Style" w:cs="Times New Roman"/>
          <w:b/>
          <w:iCs/>
          <w:color w:val="000000"/>
          <w:sz w:val="28"/>
          <w:szCs w:val="28"/>
          <w:lang w:eastAsia="en-GB"/>
        </w:rPr>
        <w:t>”</w:t>
      </w:r>
    </w:p>
    <w:p w14:paraId="45531746" w14:textId="77777777" w:rsidR="00AC3EFA" w:rsidRPr="006319C6" w:rsidRDefault="00AC3EFA" w:rsidP="00CC1447">
      <w:pPr>
        <w:shd w:val="clear" w:color="auto" w:fill="FFFFFF" w:themeFill="background1"/>
        <w:ind w:firstLine="720"/>
        <w:jc w:val="both"/>
        <w:rPr>
          <w:rFonts w:ascii="Bookman Old Style" w:hAnsi="Bookman Old Style" w:cs="Times New Roman"/>
          <w:sz w:val="28"/>
          <w:szCs w:val="28"/>
        </w:rPr>
      </w:pPr>
    </w:p>
    <w:p w14:paraId="5F80D2AA" w14:textId="76986E80" w:rsidR="003402BD" w:rsidRPr="006319C6" w:rsidRDefault="00806E59" w:rsidP="00CC1447">
      <w:pPr>
        <w:shd w:val="clear" w:color="auto" w:fill="FFFFFF" w:themeFill="background1"/>
        <w:ind w:firstLine="720"/>
        <w:jc w:val="both"/>
        <w:rPr>
          <w:rFonts w:ascii="Bookman Old Style" w:hAnsi="Bookman Old Style" w:cs="Times New Roman"/>
          <w:sz w:val="28"/>
          <w:szCs w:val="28"/>
        </w:rPr>
      </w:pPr>
      <w:r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What is the truth</w:t>
      </w:r>
      <w:r w:rsidR="00154A49" w:rsidRPr="006319C6">
        <w:rPr>
          <w:rFonts w:ascii="Bookman Old Style" w:hAnsi="Bookman Old Style" w:cs="Times New Roman"/>
          <w:sz w:val="28"/>
          <w:szCs w:val="28"/>
        </w:rPr>
        <w:t>?</w:t>
      </w:r>
      <w:r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 xml:space="preserve"> is a philoso</w:t>
      </w:r>
      <w:r w:rsidR="00324167" w:rsidRPr="006319C6">
        <w:rPr>
          <w:rFonts w:ascii="Bookman Old Style" w:hAnsi="Bookman Old Style" w:cs="Times New Roman"/>
          <w:sz w:val="28"/>
          <w:szCs w:val="28"/>
        </w:rPr>
        <w:t xml:space="preserve">phical question. The fact </w:t>
      </w:r>
      <w:r w:rsidR="003402BD" w:rsidRPr="006319C6">
        <w:rPr>
          <w:rFonts w:ascii="Bookman Old Style" w:hAnsi="Bookman Old Style" w:cs="Times New Roman"/>
          <w:sz w:val="28"/>
          <w:szCs w:val="28"/>
        </w:rPr>
        <w:t>that there are different kinds of truth – to start with a “historical truth” and “trial truth</w:t>
      </w:r>
      <w:r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 xml:space="preserve"> – is confusing. Fergal Gaynor, a barrister with longstanding working experience at the international criminal courts, finds that the “extent to which a criminal trial is essentially a truth-finding exercise is on the philosophical fault-lines which divide the inquis</w:t>
      </w:r>
      <w:r w:rsidR="00324167" w:rsidRPr="006319C6">
        <w:rPr>
          <w:rFonts w:ascii="Bookman Old Style" w:hAnsi="Bookman Old Style" w:cs="Times New Roman"/>
          <w:sz w:val="28"/>
          <w:szCs w:val="28"/>
        </w:rPr>
        <w:t>itorial and adversarial systems</w:t>
      </w:r>
      <w:r w:rsidR="003402BD" w:rsidRPr="006319C6">
        <w:rPr>
          <w:rFonts w:ascii="Bookman Old Style" w:hAnsi="Bookman Old Style" w:cs="Times New Roman"/>
          <w:sz w:val="28"/>
          <w:szCs w:val="28"/>
        </w:rPr>
        <w:t>”</w:t>
      </w:r>
      <w:r w:rsidR="00324167" w:rsidRPr="006319C6">
        <w:rPr>
          <w:rFonts w:ascii="Bookman Old Style" w:hAnsi="Bookman Old Style" w:cs="Times New Roman"/>
          <w:sz w:val="28"/>
          <w:szCs w:val="28"/>
        </w:rPr>
        <w:t>.</w:t>
      </w:r>
      <w:r w:rsidR="003402BD" w:rsidRPr="006319C6">
        <w:rPr>
          <w:rStyle w:val="FootnoteReference"/>
          <w:rFonts w:ascii="Bookman Old Style" w:hAnsi="Bookman Old Style"/>
          <w:sz w:val="28"/>
          <w:szCs w:val="28"/>
        </w:rPr>
        <w:footnoteReference w:id="20"/>
      </w:r>
      <w:r w:rsidR="003402BD" w:rsidRPr="006319C6">
        <w:rPr>
          <w:rFonts w:ascii="Bookman Old Style" w:hAnsi="Bookman Old Style" w:cs="Times New Roman"/>
          <w:sz w:val="28"/>
          <w:szCs w:val="28"/>
        </w:rPr>
        <w:t xml:space="preserve"> The starting point for understanding the notion of </w:t>
      </w:r>
      <w:r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trial truth</w:t>
      </w:r>
      <w:r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 xml:space="preserve"> is that a trial held under the adversarial legal regime produces at least two competing narratives – the prosecution narrative and the </w:t>
      </w:r>
      <w:proofErr w:type="spellStart"/>
      <w:r w:rsidR="003402BD" w:rsidRPr="006319C6">
        <w:rPr>
          <w:rFonts w:ascii="Bookman Old Style" w:hAnsi="Bookman Old Style" w:cs="Times New Roman"/>
          <w:sz w:val="28"/>
          <w:szCs w:val="28"/>
        </w:rPr>
        <w:t>defence</w:t>
      </w:r>
      <w:proofErr w:type="spellEnd"/>
      <w:r w:rsidR="003402BD" w:rsidRPr="006319C6">
        <w:rPr>
          <w:rFonts w:ascii="Bookman Old Style" w:hAnsi="Bookman Old Style" w:cs="Times New Roman"/>
          <w:sz w:val="28"/>
          <w:szCs w:val="28"/>
        </w:rPr>
        <w:t xml:space="preserve"> na</w:t>
      </w:r>
      <w:r w:rsidR="00324167" w:rsidRPr="006319C6">
        <w:rPr>
          <w:rFonts w:ascii="Bookman Old Style" w:hAnsi="Bookman Old Style" w:cs="Times New Roman"/>
          <w:sz w:val="28"/>
          <w:szCs w:val="28"/>
        </w:rPr>
        <w:t>rrative – as</w:t>
      </w:r>
      <w:r w:rsidR="003402BD" w:rsidRPr="006319C6">
        <w:rPr>
          <w:rFonts w:ascii="Bookman Old Style" w:hAnsi="Bookman Old Style" w:cs="Times New Roman"/>
          <w:sz w:val="28"/>
          <w:szCs w:val="28"/>
        </w:rPr>
        <w:t xml:space="preserve"> to how a conflict turned violent and who was to blame. Generally speaking, the inquisitorial mo</w:t>
      </w:r>
      <w:r w:rsidR="00D53807" w:rsidRPr="006319C6">
        <w:rPr>
          <w:rFonts w:ascii="Bookman Old Style" w:hAnsi="Bookman Old Style" w:cs="Times New Roman"/>
          <w:sz w:val="28"/>
          <w:szCs w:val="28"/>
        </w:rPr>
        <w:t>del (also known as European or civil law s</w:t>
      </w:r>
      <w:r w:rsidR="003402BD" w:rsidRPr="006319C6">
        <w:rPr>
          <w:rFonts w:ascii="Bookman Old Style" w:hAnsi="Bookman Old Style" w:cs="Times New Roman"/>
          <w:sz w:val="28"/>
          <w:szCs w:val="28"/>
        </w:rPr>
        <w:t>ystem</w:t>
      </w:r>
      <w:r w:rsidR="00D53807" w:rsidRPr="006319C6">
        <w:rPr>
          <w:rFonts w:ascii="Bookman Old Style" w:hAnsi="Bookman Old Style" w:cs="Times New Roman"/>
          <w:sz w:val="28"/>
          <w:szCs w:val="28"/>
        </w:rPr>
        <w:t>s</w:t>
      </w:r>
      <w:r w:rsidR="003402BD" w:rsidRPr="006319C6">
        <w:rPr>
          <w:rFonts w:ascii="Bookman Old Style" w:hAnsi="Bookman Old Style" w:cs="Times New Roman"/>
          <w:sz w:val="28"/>
          <w:szCs w:val="28"/>
        </w:rPr>
        <w:t>) seeks to come as close</w:t>
      </w:r>
      <w:r w:rsidR="00D53807" w:rsidRPr="006319C6">
        <w:rPr>
          <w:rFonts w:ascii="Bookman Old Style" w:hAnsi="Bookman Old Style" w:cs="Times New Roman"/>
          <w:sz w:val="28"/>
          <w:szCs w:val="28"/>
        </w:rPr>
        <w:t xml:space="preserve"> as possible to the truth, whereas</w:t>
      </w:r>
      <w:r w:rsidR="003402BD" w:rsidRPr="006319C6">
        <w:rPr>
          <w:rFonts w:ascii="Bookman Old Style" w:hAnsi="Bookman Old Style" w:cs="Times New Roman"/>
          <w:sz w:val="28"/>
          <w:szCs w:val="28"/>
        </w:rPr>
        <w:t xml:space="preserve"> the </w:t>
      </w:r>
      <w:r w:rsidR="00D53807" w:rsidRPr="006319C6">
        <w:rPr>
          <w:rFonts w:ascii="Bookman Old Style" w:hAnsi="Bookman Old Style" w:cs="Times New Roman"/>
          <w:sz w:val="28"/>
          <w:szCs w:val="28"/>
        </w:rPr>
        <w:t>adversarial model (Anglo-Saxon legal s</w:t>
      </w:r>
      <w:r w:rsidR="003402BD" w:rsidRPr="006319C6">
        <w:rPr>
          <w:rFonts w:ascii="Bookman Old Style" w:hAnsi="Bookman Old Style" w:cs="Times New Roman"/>
          <w:sz w:val="28"/>
          <w:szCs w:val="28"/>
        </w:rPr>
        <w:t>ystem</w:t>
      </w:r>
      <w:r w:rsidR="00D53807" w:rsidRPr="006319C6">
        <w:rPr>
          <w:rFonts w:ascii="Bookman Old Style" w:hAnsi="Bookman Old Style" w:cs="Times New Roman"/>
          <w:sz w:val="28"/>
          <w:szCs w:val="28"/>
        </w:rPr>
        <w:t>s</w:t>
      </w:r>
      <w:r w:rsidR="003402BD" w:rsidRPr="006319C6">
        <w:rPr>
          <w:rFonts w:ascii="Bookman Old Style" w:hAnsi="Bookman Old Style" w:cs="Times New Roman"/>
          <w:sz w:val="28"/>
          <w:szCs w:val="28"/>
        </w:rPr>
        <w:t xml:space="preserve">) is more about following rules in presenting </w:t>
      </w:r>
      <w:r w:rsidR="005363AF" w:rsidRPr="006319C6">
        <w:rPr>
          <w:rFonts w:ascii="Bookman Old Style" w:hAnsi="Bookman Old Style" w:cs="Times New Roman"/>
          <w:sz w:val="28"/>
          <w:szCs w:val="28"/>
        </w:rPr>
        <w:t xml:space="preserve">the </w:t>
      </w:r>
      <w:r w:rsidR="003402BD" w:rsidRPr="006319C6">
        <w:rPr>
          <w:rFonts w:ascii="Bookman Old Style" w:hAnsi="Bookman Old Style" w:cs="Times New Roman"/>
          <w:sz w:val="28"/>
          <w:szCs w:val="28"/>
        </w:rPr>
        <w:t xml:space="preserve">evidence </w:t>
      </w:r>
      <w:r w:rsidR="005363AF" w:rsidRPr="006319C6">
        <w:rPr>
          <w:rFonts w:ascii="Bookman Old Style" w:hAnsi="Bookman Old Style" w:cs="Times New Roman"/>
          <w:sz w:val="28"/>
          <w:szCs w:val="28"/>
        </w:rPr>
        <w:t xml:space="preserve">so as to </w:t>
      </w:r>
      <w:r w:rsidR="003402BD" w:rsidRPr="006319C6">
        <w:rPr>
          <w:rFonts w:ascii="Bookman Old Style" w:hAnsi="Bookman Old Style" w:cs="Times New Roman"/>
          <w:sz w:val="28"/>
          <w:szCs w:val="28"/>
        </w:rPr>
        <w:t xml:space="preserve">preserve the fairness of </w:t>
      </w:r>
      <w:r w:rsidR="005363AF" w:rsidRPr="006319C6">
        <w:rPr>
          <w:rFonts w:ascii="Bookman Old Style" w:hAnsi="Bookman Old Style" w:cs="Times New Roman"/>
          <w:sz w:val="28"/>
          <w:szCs w:val="28"/>
        </w:rPr>
        <w:t xml:space="preserve">the </w:t>
      </w:r>
      <w:r w:rsidR="003402BD" w:rsidRPr="006319C6">
        <w:rPr>
          <w:rFonts w:ascii="Bookman Old Style" w:hAnsi="Bookman Old Style" w:cs="Times New Roman"/>
          <w:sz w:val="28"/>
          <w:szCs w:val="28"/>
        </w:rPr>
        <w:t xml:space="preserve">trial </w:t>
      </w:r>
      <w:r w:rsidR="005363AF" w:rsidRPr="006319C6">
        <w:rPr>
          <w:rFonts w:ascii="Bookman Old Style" w:hAnsi="Bookman Old Style" w:cs="Times New Roman"/>
          <w:sz w:val="28"/>
          <w:szCs w:val="28"/>
        </w:rPr>
        <w:t xml:space="preserve">and ensure that </w:t>
      </w:r>
      <w:r w:rsidR="003402BD" w:rsidRPr="006319C6">
        <w:rPr>
          <w:rFonts w:ascii="Bookman Old Style" w:hAnsi="Bookman Old Style" w:cs="Times New Roman"/>
          <w:sz w:val="28"/>
          <w:szCs w:val="28"/>
        </w:rPr>
        <w:t>conviction</w:t>
      </w:r>
      <w:r w:rsidR="005363AF" w:rsidRPr="006319C6">
        <w:rPr>
          <w:rFonts w:ascii="Bookman Old Style" w:hAnsi="Bookman Old Style" w:cs="Times New Roman"/>
          <w:sz w:val="28"/>
          <w:szCs w:val="28"/>
        </w:rPr>
        <w:t>s</w:t>
      </w:r>
      <w:r w:rsidR="003402BD" w:rsidRPr="006319C6">
        <w:rPr>
          <w:rFonts w:ascii="Bookman Old Style" w:hAnsi="Bookman Old Style" w:cs="Times New Roman"/>
          <w:sz w:val="28"/>
          <w:szCs w:val="28"/>
        </w:rPr>
        <w:t xml:space="preserve"> only follow proof by evidence and argument of allegations made.</w:t>
      </w:r>
      <w:r w:rsidR="003402BD" w:rsidRPr="006319C6">
        <w:rPr>
          <w:rStyle w:val="FootnoteReference"/>
          <w:rFonts w:ascii="Bookman Old Style" w:hAnsi="Bookman Old Style"/>
          <w:sz w:val="28"/>
          <w:szCs w:val="28"/>
        </w:rPr>
        <w:footnoteReference w:id="21"/>
      </w:r>
      <w:r w:rsidR="003402BD" w:rsidRPr="006319C6">
        <w:rPr>
          <w:rFonts w:ascii="Bookman Old Style" w:hAnsi="Bookman Old Style" w:cs="Times New Roman"/>
          <w:sz w:val="28"/>
          <w:szCs w:val="28"/>
        </w:rPr>
        <w:t xml:space="preserve"> </w:t>
      </w:r>
    </w:p>
    <w:p w14:paraId="43B4BE7C" w14:textId="2C8A3F25" w:rsidR="009E1765" w:rsidRPr="006319C6" w:rsidRDefault="003402BD" w:rsidP="00CC1447">
      <w:pPr>
        <w:shd w:val="clear" w:color="auto" w:fill="FFFFFF" w:themeFill="background1"/>
        <w:ind w:firstLine="720"/>
        <w:jc w:val="both"/>
        <w:rPr>
          <w:rFonts w:ascii="Bookman Old Style" w:hAnsi="Bookman Old Style" w:cs="Times New Roman"/>
          <w:sz w:val="28"/>
          <w:szCs w:val="28"/>
          <w:lang w:val="hr-HR"/>
        </w:rPr>
      </w:pPr>
      <w:r w:rsidRPr="006319C6">
        <w:rPr>
          <w:rFonts w:ascii="Bookman Old Style" w:hAnsi="Bookman Old Style" w:cs="Times New Roman"/>
          <w:sz w:val="28"/>
          <w:szCs w:val="28"/>
        </w:rPr>
        <w:t xml:space="preserve">The truth as produced at the </w:t>
      </w:r>
      <w:r w:rsidR="004F4759" w:rsidRPr="006319C6">
        <w:rPr>
          <w:rFonts w:ascii="Bookman Old Style" w:hAnsi="Bookman Old Style" w:cs="Times New Roman"/>
          <w:sz w:val="28"/>
          <w:szCs w:val="28"/>
        </w:rPr>
        <w:t xml:space="preserve">trials presided over by Bert </w:t>
      </w:r>
      <w:proofErr w:type="spellStart"/>
      <w:r w:rsidR="004F4759" w:rsidRPr="006319C6">
        <w:rPr>
          <w:rFonts w:ascii="Bookman Old Style" w:hAnsi="Bookman Old Style" w:cs="Times New Roman"/>
          <w:sz w:val="28"/>
          <w:szCs w:val="28"/>
        </w:rPr>
        <w:t>Röling</w:t>
      </w:r>
      <w:proofErr w:type="spellEnd"/>
      <w:r w:rsidR="00D53807" w:rsidRPr="006319C6">
        <w:rPr>
          <w:rFonts w:ascii="Bookman Old Style" w:hAnsi="Bookman Old Style" w:cs="Times New Roman"/>
          <w:sz w:val="28"/>
          <w:szCs w:val="28"/>
        </w:rPr>
        <w:t xml:space="preserve"> (</w:t>
      </w:r>
      <w:r w:rsidR="003F4AF0" w:rsidRPr="006319C6">
        <w:rPr>
          <w:rFonts w:ascii="Bookman Old Style" w:hAnsi="Bookman Old Style" w:cs="Times New Roman"/>
          <w:sz w:val="28"/>
          <w:szCs w:val="28"/>
        </w:rPr>
        <w:t>1906-1985</w:t>
      </w:r>
      <w:r w:rsidR="00D53807"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the Dutch judge at the Tokyo Tribunal, led him to conclude that the many rules adopted originally to protect the lay jury from misleading and untrustworthy evidence do not produce </w:t>
      </w:r>
      <w:r w:rsidR="00806E59" w:rsidRPr="006319C6">
        <w:rPr>
          <w:rFonts w:ascii="Bookman Old Style" w:hAnsi="Bookman Old Style" w:cs="Times New Roman"/>
          <w:sz w:val="28"/>
          <w:szCs w:val="28"/>
        </w:rPr>
        <w:t>“</w:t>
      </w:r>
      <w:r w:rsidRPr="006319C6">
        <w:rPr>
          <w:rFonts w:ascii="Bookman Old Style" w:hAnsi="Bookman Old Style" w:cs="Times New Roman"/>
          <w:sz w:val="28"/>
          <w:szCs w:val="28"/>
        </w:rPr>
        <w:t>real truth</w:t>
      </w:r>
      <w:r w:rsidR="00806E59"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but a </w:t>
      </w:r>
      <w:r w:rsidR="00806E59" w:rsidRPr="006319C6">
        <w:rPr>
          <w:rFonts w:ascii="Bookman Old Style" w:hAnsi="Bookman Old Style" w:cs="Times New Roman"/>
          <w:sz w:val="28"/>
          <w:szCs w:val="28"/>
        </w:rPr>
        <w:t>“</w:t>
      </w:r>
      <w:r w:rsidRPr="006319C6">
        <w:rPr>
          <w:rFonts w:ascii="Bookman Old Style" w:hAnsi="Bookman Old Style" w:cs="Times New Roman"/>
          <w:sz w:val="28"/>
          <w:szCs w:val="28"/>
        </w:rPr>
        <w:t>trial truth</w:t>
      </w:r>
      <w:r w:rsidR="00806E59" w:rsidRPr="006319C6">
        <w:rPr>
          <w:rFonts w:ascii="Bookman Old Style" w:hAnsi="Bookman Old Style" w:cs="Times New Roman"/>
          <w:sz w:val="28"/>
          <w:szCs w:val="28"/>
        </w:rPr>
        <w:t>”</w:t>
      </w:r>
      <w:r w:rsidRPr="006319C6">
        <w:rPr>
          <w:rFonts w:ascii="Bookman Old Style" w:hAnsi="Bookman Old Style" w:cs="Times New Roman"/>
          <w:sz w:val="28"/>
          <w:szCs w:val="28"/>
        </w:rPr>
        <w:t>.</w:t>
      </w:r>
      <w:r w:rsidRPr="006319C6">
        <w:rPr>
          <w:rStyle w:val="FootnoteReference"/>
          <w:rFonts w:ascii="Bookman Old Style" w:hAnsi="Bookman Old Style"/>
          <w:sz w:val="28"/>
          <w:szCs w:val="28"/>
        </w:rPr>
        <w:footnoteReference w:id="22"/>
      </w:r>
      <w:r w:rsidRPr="006319C6">
        <w:rPr>
          <w:rFonts w:ascii="Bookman Old Style" w:hAnsi="Bookman Old Style" w:cs="Times New Roman"/>
          <w:sz w:val="28"/>
          <w:szCs w:val="28"/>
        </w:rPr>
        <w:t xml:space="preserve"> Modern day lawyers still voice the same concerns. Sir Geoffrey Nice, the lead prosecutor of Serbia’s President Slobodan Milo</w:t>
      </w:r>
      <w:r w:rsidRPr="006319C6">
        <w:rPr>
          <w:rFonts w:ascii="Bookman Old Style" w:hAnsi="Bookman Old Style" w:cs="Times New Roman"/>
          <w:sz w:val="28"/>
          <w:szCs w:val="28"/>
          <w:lang w:val="hr-HR"/>
        </w:rPr>
        <w:t xml:space="preserve">šević at the ICTY, expressed his reservations about the adversarial model being the most efficient to prosecute mass atrocities. He explained how it can happen that judges compile judgments based on two opposing narratives  - prosecution and defence - neither of which might be an accurate, or even </w:t>
      </w:r>
      <w:r w:rsidR="00D435DA" w:rsidRPr="006319C6">
        <w:rPr>
          <w:rFonts w:ascii="Bookman Old Style" w:hAnsi="Bookman Old Style" w:cs="Times New Roman"/>
          <w:sz w:val="28"/>
          <w:szCs w:val="28"/>
          <w:lang w:val="hr-HR"/>
        </w:rPr>
        <w:t>a</w:t>
      </w:r>
    </w:p>
    <w:p w14:paraId="7B875559" w14:textId="77777777" w:rsidR="009E1765" w:rsidRPr="006319C6" w:rsidRDefault="009E1765" w:rsidP="00CC1447">
      <w:pPr>
        <w:shd w:val="clear" w:color="auto" w:fill="FFFFFF" w:themeFill="background1"/>
        <w:ind w:firstLine="720"/>
        <w:jc w:val="both"/>
        <w:rPr>
          <w:rFonts w:ascii="Bookman Old Style" w:hAnsi="Bookman Old Style" w:cs="Times New Roman"/>
          <w:sz w:val="28"/>
          <w:szCs w:val="28"/>
          <w:lang w:val="hr-HR"/>
        </w:rPr>
      </w:pPr>
    </w:p>
    <w:p w14:paraId="11E23810" w14:textId="77777777" w:rsidR="009E1765" w:rsidRPr="006319C6" w:rsidRDefault="009E1765" w:rsidP="00CC1447">
      <w:pPr>
        <w:shd w:val="clear" w:color="auto" w:fill="FFFFFF" w:themeFill="background1"/>
        <w:ind w:firstLine="720"/>
        <w:jc w:val="both"/>
        <w:rPr>
          <w:rFonts w:ascii="Bookman Old Style" w:hAnsi="Bookman Old Style" w:cs="Times New Roman"/>
          <w:sz w:val="28"/>
          <w:szCs w:val="28"/>
          <w:lang w:val="hr-HR"/>
        </w:rPr>
      </w:pPr>
    </w:p>
    <w:p w14:paraId="2E8D73B0" w14:textId="77777777" w:rsidR="009E1765" w:rsidRPr="006319C6" w:rsidRDefault="009E1765" w:rsidP="00CC1447">
      <w:pPr>
        <w:shd w:val="clear" w:color="auto" w:fill="FFFFFF" w:themeFill="background1"/>
        <w:ind w:firstLine="720"/>
        <w:jc w:val="both"/>
        <w:rPr>
          <w:rFonts w:ascii="Bookman Old Style" w:hAnsi="Bookman Old Style" w:cs="Times New Roman"/>
          <w:sz w:val="28"/>
          <w:szCs w:val="28"/>
          <w:lang w:val="hr-HR"/>
        </w:rPr>
      </w:pPr>
    </w:p>
    <w:p w14:paraId="6C1EB8A5" w14:textId="4EA52FB4" w:rsidR="003402BD" w:rsidRPr="006319C6" w:rsidRDefault="003402BD" w:rsidP="009E1765">
      <w:pPr>
        <w:shd w:val="clear" w:color="auto" w:fill="FFFFFF" w:themeFill="background1"/>
        <w:jc w:val="both"/>
        <w:rPr>
          <w:rFonts w:ascii="Bookman Old Style" w:hAnsi="Bookman Old Style" w:cs="Times New Roman"/>
          <w:sz w:val="28"/>
          <w:szCs w:val="28"/>
        </w:rPr>
      </w:pPr>
      <w:r w:rsidRPr="006319C6">
        <w:rPr>
          <w:rFonts w:ascii="Bookman Old Style" w:hAnsi="Bookman Old Style" w:cs="Times New Roman"/>
          <w:sz w:val="28"/>
          <w:szCs w:val="28"/>
          <w:lang w:val="hr-HR"/>
        </w:rPr>
        <w:t>truthful, interpretation of facts and e</w:t>
      </w:r>
      <w:r w:rsidR="00C02DE3" w:rsidRPr="006319C6">
        <w:rPr>
          <w:rFonts w:ascii="Bookman Old Style" w:hAnsi="Bookman Old Style" w:cs="Times New Roman"/>
          <w:sz w:val="28"/>
          <w:szCs w:val="28"/>
          <w:lang w:val="hr-HR"/>
        </w:rPr>
        <w:t xml:space="preserve">vents. Yet the judges may have </w:t>
      </w:r>
      <w:r w:rsidRPr="006319C6">
        <w:rPr>
          <w:rFonts w:ascii="Bookman Old Style" w:hAnsi="Bookman Old Style" w:cs="Times New Roman"/>
          <w:sz w:val="28"/>
          <w:szCs w:val="28"/>
          <w:lang w:val="hr-HR"/>
        </w:rPr>
        <w:t>little choice but to make their final determination based on the persuasivness of the evidence and legal arguments of one side and produce a judgment that will not tell the whole truth or the truth at all.</w:t>
      </w:r>
      <w:r w:rsidRPr="006319C6">
        <w:rPr>
          <w:rStyle w:val="FootnoteReference"/>
          <w:rFonts w:ascii="Bookman Old Style" w:hAnsi="Bookman Old Style"/>
          <w:sz w:val="28"/>
          <w:szCs w:val="28"/>
          <w:lang w:val="hr-HR"/>
        </w:rPr>
        <w:footnoteReference w:id="23"/>
      </w:r>
      <w:r w:rsidRPr="006319C6">
        <w:rPr>
          <w:rFonts w:ascii="Bookman Old Style" w:hAnsi="Bookman Old Style" w:cs="Times New Roman"/>
          <w:sz w:val="28"/>
          <w:szCs w:val="28"/>
        </w:rPr>
        <w:t xml:space="preserve"> </w:t>
      </w:r>
    </w:p>
    <w:p w14:paraId="719E7991" w14:textId="15800AAD" w:rsidR="003402BD" w:rsidRPr="006319C6" w:rsidRDefault="003402BD" w:rsidP="00CC1447">
      <w:pPr>
        <w:shd w:val="clear" w:color="auto" w:fill="FFFFFF" w:themeFill="background1"/>
        <w:ind w:firstLine="720"/>
        <w:jc w:val="both"/>
        <w:rPr>
          <w:rFonts w:ascii="Bookman Old Style" w:hAnsi="Bookman Old Style" w:cs="Times New Roman"/>
          <w:sz w:val="28"/>
          <w:szCs w:val="28"/>
        </w:rPr>
      </w:pPr>
      <w:r w:rsidRPr="006319C6">
        <w:rPr>
          <w:rFonts w:ascii="Bookman Old Style" w:hAnsi="Bookman Old Style" w:cs="Times New Roman"/>
          <w:sz w:val="28"/>
          <w:szCs w:val="28"/>
        </w:rPr>
        <w:t xml:space="preserve">Otto </w:t>
      </w:r>
      <w:proofErr w:type="spellStart"/>
      <w:r w:rsidRPr="006319C6">
        <w:rPr>
          <w:rFonts w:ascii="Bookman Old Style" w:hAnsi="Bookman Old Style" w:cs="Times New Roman"/>
          <w:sz w:val="28"/>
          <w:szCs w:val="28"/>
        </w:rPr>
        <w:t>Kirchheimer</w:t>
      </w:r>
      <w:proofErr w:type="spellEnd"/>
      <w:r w:rsidR="00C02DE3" w:rsidRPr="006319C6">
        <w:rPr>
          <w:rFonts w:ascii="Bookman Old Style" w:hAnsi="Bookman Old Style" w:cs="Times New Roman"/>
          <w:sz w:val="28"/>
          <w:szCs w:val="28"/>
        </w:rPr>
        <w:t xml:space="preserve"> (1905-1965)</w:t>
      </w:r>
      <w:r w:rsidRPr="006319C6">
        <w:rPr>
          <w:rStyle w:val="FootnoteReference"/>
          <w:rFonts w:ascii="Bookman Old Style" w:hAnsi="Bookman Old Style"/>
          <w:sz w:val="28"/>
          <w:szCs w:val="28"/>
        </w:rPr>
        <w:footnoteReference w:id="24"/>
      </w:r>
      <w:r w:rsidRPr="006319C6">
        <w:rPr>
          <w:rFonts w:ascii="Bookman Old Style" w:hAnsi="Bookman Old Style" w:cs="Times New Roman"/>
          <w:sz w:val="28"/>
          <w:szCs w:val="28"/>
        </w:rPr>
        <w:t xml:space="preserve"> </w:t>
      </w:r>
      <w:r w:rsidRPr="006319C6">
        <w:rPr>
          <w:rFonts w:ascii="Bookman Old Style" w:hAnsi="Bookman Old Style" w:cs="Times New Roman"/>
          <w:color w:val="222222"/>
          <w:sz w:val="28"/>
          <w:szCs w:val="28"/>
          <w:shd w:val="clear" w:color="auto" w:fill="FFFFFF"/>
          <w:lang w:val="en-GB"/>
        </w:rPr>
        <w:t>advanced</w:t>
      </w:r>
      <w:r w:rsidRPr="006319C6">
        <w:rPr>
          <w:rFonts w:ascii="Bookman Old Style" w:hAnsi="Bookman Old Style" w:cs="Times New Roman"/>
          <w:sz w:val="28"/>
          <w:szCs w:val="28"/>
          <w:lang w:val="en-GB"/>
        </w:rPr>
        <w:t xml:space="preserve"> the theory of “double wager” for mass atrocities trials </w:t>
      </w:r>
      <w:r w:rsidR="004154DF" w:rsidRPr="006319C6">
        <w:rPr>
          <w:rFonts w:ascii="Bookman Old Style" w:hAnsi="Bookman Old Style" w:cs="Times New Roman"/>
          <w:sz w:val="28"/>
          <w:szCs w:val="28"/>
        </w:rPr>
        <w:t>where polariz</w:t>
      </w:r>
      <w:r w:rsidRPr="006319C6">
        <w:rPr>
          <w:rFonts w:ascii="Bookman Old Style" w:hAnsi="Bookman Old Style" w:cs="Times New Roman"/>
          <w:sz w:val="28"/>
          <w:szCs w:val="28"/>
        </w:rPr>
        <w:t>ed accounts of the past ar</w:t>
      </w:r>
      <w:r w:rsidR="004154DF" w:rsidRPr="006319C6">
        <w:rPr>
          <w:rFonts w:ascii="Bookman Old Style" w:hAnsi="Bookman Old Style" w:cs="Times New Roman"/>
          <w:sz w:val="28"/>
          <w:szCs w:val="28"/>
        </w:rPr>
        <w:t xml:space="preserve">e presented by prosecution and </w:t>
      </w:r>
      <w:proofErr w:type="spellStart"/>
      <w:r w:rsidR="004154DF" w:rsidRPr="006319C6">
        <w:rPr>
          <w:rFonts w:ascii="Bookman Old Style" w:hAnsi="Bookman Old Style" w:cs="Times New Roman"/>
          <w:sz w:val="28"/>
          <w:szCs w:val="28"/>
        </w:rPr>
        <w:t>d</w:t>
      </w:r>
      <w:r w:rsidRPr="006319C6">
        <w:rPr>
          <w:rFonts w:ascii="Bookman Old Style" w:hAnsi="Bookman Old Style" w:cs="Times New Roman"/>
          <w:sz w:val="28"/>
          <w:szCs w:val="28"/>
        </w:rPr>
        <w:t>efence</w:t>
      </w:r>
      <w:proofErr w:type="spellEnd"/>
      <w:r w:rsidRPr="006319C6">
        <w:rPr>
          <w:rFonts w:ascii="Bookman Old Style" w:hAnsi="Bookman Old Style" w:cs="Times New Roman"/>
          <w:sz w:val="28"/>
          <w:szCs w:val="28"/>
        </w:rPr>
        <w:t>.</w:t>
      </w:r>
      <w:r w:rsidRPr="006319C6">
        <w:rPr>
          <w:rStyle w:val="FootnoteReference"/>
          <w:rFonts w:ascii="Bookman Old Style" w:hAnsi="Bookman Old Style"/>
          <w:sz w:val="28"/>
          <w:szCs w:val="28"/>
          <w:lang w:val="en-GB"/>
        </w:rPr>
        <w:footnoteReference w:id="25"/>
      </w:r>
      <w:r w:rsidRPr="006319C6">
        <w:rPr>
          <w:rFonts w:ascii="Bookman Old Style" w:hAnsi="Bookman Old Style" w:cs="Times New Roman"/>
          <w:sz w:val="28"/>
          <w:szCs w:val="28"/>
          <w:lang w:val="en-GB"/>
        </w:rPr>
        <w:t xml:space="preserve"> </w:t>
      </w:r>
      <w:proofErr w:type="spellStart"/>
      <w:r w:rsidRPr="006319C6">
        <w:rPr>
          <w:rFonts w:ascii="Bookman Old Style" w:hAnsi="Bookman Old Style" w:cs="Times New Roman"/>
          <w:sz w:val="28"/>
          <w:szCs w:val="28"/>
        </w:rPr>
        <w:t>Kirchheimer’s</w:t>
      </w:r>
      <w:proofErr w:type="spellEnd"/>
      <w:r w:rsidRPr="006319C6">
        <w:rPr>
          <w:rFonts w:ascii="Bookman Old Style" w:hAnsi="Bookman Old Style" w:cs="Times New Roman"/>
          <w:sz w:val="28"/>
          <w:szCs w:val="28"/>
        </w:rPr>
        <w:t xml:space="preserve"> theory was that even if a trial ends in a conviction, it may fail in its didactic aim because the narrative of the defendant might nevertheless </w:t>
      </w:r>
      <w:r w:rsidR="004154DF" w:rsidRPr="006319C6">
        <w:rPr>
          <w:rFonts w:ascii="Bookman Old Style" w:hAnsi="Bookman Old Style" w:cs="Times New Roman"/>
          <w:sz w:val="28"/>
          <w:szCs w:val="28"/>
        </w:rPr>
        <w:t xml:space="preserve">prevail. This risk becomes </w:t>
      </w:r>
      <w:r w:rsidRPr="006319C6">
        <w:rPr>
          <w:rFonts w:ascii="Bookman Old Style" w:hAnsi="Bookman Old Style" w:cs="Times New Roman"/>
          <w:sz w:val="28"/>
          <w:szCs w:val="28"/>
        </w:rPr>
        <w:t>greater when two or more persons are on trial for the same or similar crimes.</w:t>
      </w:r>
      <w:r w:rsidRPr="006319C6">
        <w:rPr>
          <w:rStyle w:val="CommentReference"/>
          <w:rFonts w:ascii="Bookman Old Style" w:hAnsi="Bookman Old Style" w:cs="Times New Roman"/>
          <w:sz w:val="28"/>
          <w:szCs w:val="28"/>
        </w:rPr>
        <w:t xml:space="preserve"> </w:t>
      </w:r>
      <w:r w:rsidRPr="006319C6">
        <w:rPr>
          <w:rStyle w:val="FootnoteReference"/>
          <w:rFonts w:ascii="Bookman Old Style" w:hAnsi="Bookman Old Style"/>
          <w:sz w:val="28"/>
          <w:szCs w:val="28"/>
        </w:rPr>
        <w:footnoteReference w:id="26"/>
      </w:r>
      <w:r w:rsidR="00E47D62" w:rsidRPr="006319C6">
        <w:rPr>
          <w:rFonts w:ascii="Bookman Old Style" w:hAnsi="Bookman Old Style" w:cs="Times New Roman"/>
          <w:sz w:val="28"/>
          <w:szCs w:val="28"/>
        </w:rPr>
        <w:t xml:space="preserve"> Scholars</w:t>
      </w:r>
      <w:r w:rsidRPr="006319C6">
        <w:rPr>
          <w:rFonts w:ascii="Bookman Old Style" w:hAnsi="Bookman Old Style" w:cs="Times New Roman"/>
          <w:sz w:val="28"/>
          <w:szCs w:val="28"/>
        </w:rPr>
        <w:t xml:space="preserve"> who studied the prevailing narratives in the Holocaust trials found that the law succeeded at times but, at others, lost this wager.</w:t>
      </w:r>
      <w:r w:rsidRPr="006319C6">
        <w:rPr>
          <w:rStyle w:val="FootnoteReference"/>
          <w:rFonts w:ascii="Bookman Old Style" w:eastAsia="MS ??" w:hAnsi="Bookman Old Style"/>
          <w:sz w:val="28"/>
          <w:szCs w:val="28"/>
        </w:rPr>
        <w:footnoteReference w:id="27"/>
      </w:r>
      <w:r w:rsidRPr="006319C6">
        <w:rPr>
          <w:rFonts w:ascii="Bookman Old Style" w:hAnsi="Bookman Old Style" w:cs="Times New Roman"/>
          <w:sz w:val="28"/>
          <w:szCs w:val="28"/>
        </w:rPr>
        <w:t xml:space="preserve">  </w:t>
      </w:r>
    </w:p>
    <w:p w14:paraId="23A7FA49" w14:textId="77777777" w:rsidR="00E47D62" w:rsidRPr="006319C6" w:rsidRDefault="00E47D62" w:rsidP="00A9165D">
      <w:pPr>
        <w:autoSpaceDE w:val="0"/>
        <w:autoSpaceDN w:val="0"/>
        <w:adjustRightInd w:val="0"/>
        <w:jc w:val="both"/>
        <w:rPr>
          <w:rFonts w:ascii="Bookman Old Style" w:hAnsi="Bookman Old Style" w:cs="Times New Roman"/>
          <w:sz w:val="28"/>
          <w:szCs w:val="28"/>
        </w:rPr>
      </w:pPr>
    </w:p>
    <w:p w14:paraId="15A0D0BC" w14:textId="5A5901D4" w:rsidR="003402BD" w:rsidRPr="006319C6" w:rsidRDefault="003402BD" w:rsidP="00A9165D">
      <w:pPr>
        <w:autoSpaceDE w:val="0"/>
        <w:autoSpaceDN w:val="0"/>
        <w:adjustRightInd w:val="0"/>
        <w:jc w:val="both"/>
        <w:rPr>
          <w:rFonts w:ascii="Bookman Old Style" w:hAnsi="Bookman Old Style" w:cs="Times New Roman"/>
          <w:b/>
          <w:sz w:val="28"/>
          <w:szCs w:val="28"/>
        </w:rPr>
      </w:pPr>
      <w:r w:rsidRPr="006319C6">
        <w:rPr>
          <w:rFonts w:ascii="Bookman Old Style" w:hAnsi="Bookman Old Style" w:cs="Times New Roman"/>
          <w:b/>
          <w:sz w:val="28"/>
          <w:szCs w:val="28"/>
        </w:rPr>
        <w:t>Courtroom History</w:t>
      </w:r>
    </w:p>
    <w:p w14:paraId="7D484B1E" w14:textId="77777777" w:rsidR="00E47D62" w:rsidRPr="006319C6" w:rsidRDefault="00E47D62" w:rsidP="00CC1447">
      <w:pPr>
        <w:autoSpaceDE w:val="0"/>
        <w:autoSpaceDN w:val="0"/>
        <w:adjustRightInd w:val="0"/>
        <w:jc w:val="both"/>
        <w:rPr>
          <w:rFonts w:ascii="Bookman Old Style" w:hAnsi="Bookman Old Style" w:cs="Times New Roman"/>
          <w:sz w:val="28"/>
          <w:szCs w:val="28"/>
        </w:rPr>
      </w:pPr>
    </w:p>
    <w:p w14:paraId="55748593" w14:textId="2CECD302" w:rsidR="003402BD" w:rsidRPr="006319C6" w:rsidRDefault="00E47D62" w:rsidP="00CC1447">
      <w:pPr>
        <w:autoSpaceDE w:val="0"/>
        <w:autoSpaceDN w:val="0"/>
        <w:adjustRightInd w:val="0"/>
        <w:jc w:val="both"/>
        <w:rPr>
          <w:rFonts w:ascii="Bookman Old Style" w:hAnsi="Bookman Old Style" w:cs="Times New Roman"/>
          <w:sz w:val="28"/>
          <w:szCs w:val="28"/>
        </w:rPr>
      </w:pPr>
      <w:r w:rsidRPr="006319C6">
        <w:rPr>
          <w:rFonts w:ascii="Bookman Old Style" w:hAnsi="Bookman Old Style" w:cs="Times New Roman"/>
          <w:sz w:val="28"/>
          <w:szCs w:val="28"/>
        </w:rPr>
        <w:tab/>
        <w:t>How did</w:t>
      </w:r>
      <w:r w:rsidR="003402BD" w:rsidRPr="006319C6">
        <w:rPr>
          <w:rFonts w:ascii="Bookman Old Style" w:hAnsi="Bookman Old Style" w:cs="Times New Roman"/>
          <w:sz w:val="28"/>
          <w:szCs w:val="28"/>
        </w:rPr>
        <w:t xml:space="preserve"> the </w:t>
      </w:r>
      <w:r w:rsidR="00806E59"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double wager</w:t>
      </w:r>
      <w:r w:rsidR="00806E59"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 xml:space="preserve"> work at </w:t>
      </w:r>
      <w:r w:rsidR="005363AF" w:rsidRPr="006319C6">
        <w:rPr>
          <w:rFonts w:ascii="Bookman Old Style" w:hAnsi="Bookman Old Style" w:cs="Times New Roman"/>
          <w:sz w:val="28"/>
          <w:szCs w:val="28"/>
        </w:rPr>
        <w:t xml:space="preserve">the </w:t>
      </w:r>
      <w:r w:rsidR="003402BD" w:rsidRPr="006319C6">
        <w:rPr>
          <w:rFonts w:ascii="Bookman Old Style" w:hAnsi="Bookman Old Style" w:cs="Times New Roman"/>
          <w:sz w:val="28"/>
          <w:szCs w:val="28"/>
        </w:rPr>
        <w:t>ICTY</w:t>
      </w:r>
      <w:r w:rsidR="005363AF"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 xml:space="preserve"> The ICTY’s indictments and trials show that the majority of th</w:t>
      </w:r>
      <w:r w:rsidRPr="006319C6">
        <w:rPr>
          <w:rFonts w:ascii="Bookman Old Style" w:hAnsi="Bookman Old Style" w:cs="Times New Roman"/>
          <w:sz w:val="28"/>
          <w:szCs w:val="28"/>
        </w:rPr>
        <w:t>ose indicted were</w:t>
      </w:r>
      <w:r w:rsidR="003402BD" w:rsidRPr="006319C6">
        <w:rPr>
          <w:rFonts w:ascii="Bookman Old Style" w:hAnsi="Bookman Old Style" w:cs="Times New Roman"/>
          <w:sz w:val="28"/>
          <w:szCs w:val="28"/>
        </w:rPr>
        <w:t xml:space="preserve"> Serb nationals. This was the outcome of </w:t>
      </w:r>
      <w:r w:rsidR="005363AF" w:rsidRPr="006319C6">
        <w:rPr>
          <w:rFonts w:ascii="Bookman Old Style" w:hAnsi="Bookman Old Style" w:cs="Times New Roman"/>
          <w:sz w:val="28"/>
          <w:szCs w:val="28"/>
        </w:rPr>
        <w:t xml:space="preserve">the </w:t>
      </w:r>
      <w:r w:rsidR="003402BD" w:rsidRPr="006319C6">
        <w:rPr>
          <w:rFonts w:ascii="Bookman Old Style" w:hAnsi="Bookman Old Style" w:cs="Times New Roman"/>
          <w:sz w:val="28"/>
          <w:szCs w:val="28"/>
        </w:rPr>
        <w:t>investiga</w:t>
      </w:r>
      <w:r w:rsidR="0092605F" w:rsidRPr="006319C6">
        <w:rPr>
          <w:rFonts w:ascii="Bookman Old Style" w:hAnsi="Bookman Old Style" w:cs="Times New Roman"/>
          <w:sz w:val="28"/>
          <w:szCs w:val="28"/>
        </w:rPr>
        <w:t>tion of the crimes that were committed</w:t>
      </w:r>
      <w:r w:rsidR="003402BD" w:rsidRPr="006319C6">
        <w:rPr>
          <w:rFonts w:ascii="Bookman Old Style" w:hAnsi="Bookman Old Style" w:cs="Times New Roman"/>
          <w:sz w:val="28"/>
          <w:szCs w:val="28"/>
        </w:rPr>
        <w:t xml:space="preserve"> during the wars in Croatia (1991-1992 and 199</w:t>
      </w:r>
      <w:r w:rsidR="0092605F" w:rsidRPr="006319C6">
        <w:rPr>
          <w:rFonts w:ascii="Bookman Old Style" w:hAnsi="Bookman Old Style" w:cs="Times New Roman"/>
          <w:sz w:val="28"/>
          <w:szCs w:val="28"/>
        </w:rPr>
        <w:t>5), Bosnia and Herzegovina</w:t>
      </w:r>
      <w:r w:rsidR="003402BD" w:rsidRPr="006319C6">
        <w:rPr>
          <w:rFonts w:ascii="Bookman Old Style" w:hAnsi="Bookman Old Style" w:cs="Times New Roman"/>
          <w:sz w:val="28"/>
          <w:szCs w:val="28"/>
        </w:rPr>
        <w:t xml:space="preserve"> (1992-1995)</w:t>
      </w:r>
      <w:r w:rsidR="0092605F" w:rsidRPr="006319C6">
        <w:rPr>
          <w:rFonts w:ascii="Bookman Old Style" w:hAnsi="Bookman Old Style" w:cs="Times New Roman"/>
          <w:sz w:val="28"/>
          <w:szCs w:val="28"/>
        </w:rPr>
        <w:t>,</w:t>
      </w:r>
      <w:r w:rsidR="003402BD" w:rsidRPr="006319C6">
        <w:rPr>
          <w:rFonts w:ascii="Bookman Old Style" w:hAnsi="Bookman Old Style" w:cs="Times New Roman"/>
          <w:sz w:val="28"/>
          <w:szCs w:val="28"/>
        </w:rPr>
        <w:t xml:space="preserve"> and Kosovo (1998-1999). The majority of the victims in those wars were non-Serbs who lived </w:t>
      </w:r>
      <w:r w:rsidR="005363AF" w:rsidRPr="006319C6">
        <w:rPr>
          <w:rFonts w:ascii="Bookman Old Style" w:hAnsi="Bookman Old Style" w:cs="Times New Roman"/>
          <w:sz w:val="28"/>
          <w:szCs w:val="28"/>
        </w:rPr>
        <w:t>withi</w:t>
      </w:r>
      <w:r w:rsidR="003402BD" w:rsidRPr="006319C6">
        <w:rPr>
          <w:rFonts w:ascii="Bookman Old Style" w:hAnsi="Bookman Old Style" w:cs="Times New Roman"/>
          <w:sz w:val="28"/>
          <w:szCs w:val="28"/>
        </w:rPr>
        <w:t>n the Serb designated territories - the term used by the ICTY Prosecution to denote the aspiration by Serb leadership to crea</w:t>
      </w:r>
      <w:r w:rsidR="0092605F" w:rsidRPr="006319C6">
        <w:rPr>
          <w:rFonts w:ascii="Bookman Old Style" w:hAnsi="Bookman Old Style" w:cs="Times New Roman"/>
          <w:sz w:val="28"/>
          <w:szCs w:val="28"/>
        </w:rPr>
        <w:t>te a post-Yugoslav Serb ethnic State. Two of the Serbs indicted</w:t>
      </w:r>
      <w:r w:rsidR="003402BD" w:rsidRPr="006319C6">
        <w:rPr>
          <w:rFonts w:ascii="Bookman Old Style" w:hAnsi="Bookman Old Style" w:cs="Times New Roman"/>
          <w:sz w:val="28"/>
          <w:szCs w:val="28"/>
        </w:rPr>
        <w:t xml:space="preserve">, Radovan </w:t>
      </w:r>
      <w:proofErr w:type="spellStart"/>
      <w:r w:rsidR="003402BD" w:rsidRPr="006319C6">
        <w:rPr>
          <w:rFonts w:ascii="Bookman Old Style" w:hAnsi="Bookman Old Style" w:cs="Times New Roman"/>
          <w:sz w:val="28"/>
          <w:szCs w:val="28"/>
        </w:rPr>
        <w:t>Karad</w:t>
      </w:r>
      <w:proofErr w:type="spellEnd"/>
      <w:r w:rsidR="003402BD" w:rsidRPr="006319C6">
        <w:rPr>
          <w:rFonts w:ascii="Bookman Old Style" w:hAnsi="Bookman Old Style" w:cs="Times New Roman"/>
          <w:sz w:val="28"/>
          <w:szCs w:val="28"/>
          <w:lang w:val="hr-HR"/>
        </w:rPr>
        <w:t xml:space="preserve">žić and </w:t>
      </w:r>
      <w:r w:rsidR="003402BD" w:rsidRPr="006319C6">
        <w:rPr>
          <w:rFonts w:ascii="Bookman Old Style" w:hAnsi="Bookman Old Style" w:cs="Times New Roman"/>
          <w:sz w:val="28"/>
          <w:szCs w:val="28"/>
        </w:rPr>
        <w:t>Slobodan Milo</w:t>
      </w:r>
      <w:r w:rsidR="003402BD" w:rsidRPr="006319C6">
        <w:rPr>
          <w:rFonts w:ascii="Bookman Old Style" w:hAnsi="Bookman Old Style" w:cs="Times New Roman"/>
          <w:sz w:val="28"/>
          <w:szCs w:val="28"/>
          <w:lang w:val="hr-HR"/>
        </w:rPr>
        <w:t>šević</w:t>
      </w:r>
      <w:r w:rsidR="00BD0385" w:rsidRPr="006319C6">
        <w:rPr>
          <w:rFonts w:ascii="Bookman Old Style" w:hAnsi="Bookman Old Style" w:cs="Times New Roman"/>
          <w:sz w:val="28"/>
          <w:szCs w:val="28"/>
          <w:lang w:val="hr-HR"/>
        </w:rPr>
        <w:t xml:space="preserve"> (1941-2006)</w:t>
      </w:r>
      <w:r w:rsidR="003402BD" w:rsidRPr="006319C6">
        <w:rPr>
          <w:rFonts w:ascii="Bookman Old Style" w:hAnsi="Bookman Old Style" w:cs="Times New Roman"/>
          <w:sz w:val="28"/>
          <w:szCs w:val="28"/>
          <w:lang w:val="hr-HR"/>
        </w:rPr>
        <w:t>,</w:t>
      </w:r>
      <w:r w:rsidR="003402BD" w:rsidRPr="006319C6">
        <w:rPr>
          <w:rFonts w:ascii="Bookman Old Style" w:hAnsi="Bookman Old Style" w:cs="Times New Roman"/>
          <w:sz w:val="28"/>
          <w:szCs w:val="28"/>
        </w:rPr>
        <w:t xml:space="preserve"> were the highest-ranking politicians </w:t>
      </w:r>
      <w:r w:rsidR="003402BD" w:rsidRPr="006319C6">
        <w:rPr>
          <w:rFonts w:ascii="Bookman Old Style" w:hAnsi="Bookman Old Style" w:cs="Times New Roman"/>
          <w:sz w:val="28"/>
          <w:szCs w:val="28"/>
        </w:rPr>
        <w:lastRenderedPageBreak/>
        <w:t>ever indicted by the ICTY.</w:t>
      </w:r>
      <w:r w:rsidR="003402BD" w:rsidRPr="006319C6">
        <w:rPr>
          <w:rStyle w:val="FootnoteReference"/>
          <w:rFonts w:ascii="Bookman Old Style" w:hAnsi="Bookman Old Style"/>
          <w:sz w:val="28"/>
          <w:szCs w:val="28"/>
        </w:rPr>
        <w:footnoteReference w:id="28"/>
      </w:r>
      <w:r w:rsidR="003402BD" w:rsidRPr="006319C6">
        <w:rPr>
          <w:rFonts w:ascii="Bookman Old Style" w:hAnsi="Bookman Old Style" w:cs="Times New Roman"/>
          <w:sz w:val="28"/>
          <w:szCs w:val="28"/>
        </w:rPr>
        <w:t xml:space="preserve"> It is noteworthy that before the ICTY was formed in May 1993, the majority of analysts, historians,</w:t>
      </w:r>
      <w:r w:rsidR="00BD0385" w:rsidRPr="006319C6">
        <w:rPr>
          <w:rFonts w:ascii="Bookman Old Style" w:hAnsi="Bookman Old Style" w:cs="Times New Roman"/>
          <w:sz w:val="28"/>
          <w:szCs w:val="28"/>
        </w:rPr>
        <w:t xml:space="preserve"> and diplomats had </w:t>
      </w:r>
      <w:r w:rsidR="003402BD" w:rsidRPr="006319C6">
        <w:rPr>
          <w:rFonts w:ascii="Bookman Old Style" w:hAnsi="Bookman Old Style" w:cs="Times New Roman"/>
          <w:sz w:val="28"/>
          <w:szCs w:val="28"/>
        </w:rPr>
        <w:t>s</w:t>
      </w:r>
      <w:r w:rsidR="00B55B28" w:rsidRPr="006319C6">
        <w:rPr>
          <w:rFonts w:ascii="Bookman Old Style" w:hAnsi="Bookman Old Style" w:cs="Times New Roman"/>
          <w:sz w:val="28"/>
          <w:szCs w:val="28"/>
        </w:rPr>
        <w:t xml:space="preserve">ingled out the Serb side as </w:t>
      </w:r>
      <w:r w:rsidR="003402BD" w:rsidRPr="006319C6">
        <w:rPr>
          <w:rFonts w:ascii="Bookman Old Style" w:hAnsi="Bookman Old Style" w:cs="Times New Roman"/>
          <w:sz w:val="28"/>
          <w:szCs w:val="28"/>
        </w:rPr>
        <w:t>most responsible for the start of the war and the commission of crimes. But, there was also a counter narrative that saw Serbia and the Serbs as the victims of the conspiracy led by the international community and the former Yugoslav republics – Slovenia and Croatia – to destroy Yugoslavia as a</w:t>
      </w:r>
      <w:r w:rsidR="00B55B28" w:rsidRPr="006319C6">
        <w:rPr>
          <w:rFonts w:ascii="Bookman Old Style" w:hAnsi="Bookman Old Style" w:cs="Times New Roman"/>
          <w:sz w:val="28"/>
          <w:szCs w:val="28"/>
        </w:rPr>
        <w:t xml:space="preserve"> S</w:t>
      </w:r>
      <w:r w:rsidR="003402BD" w:rsidRPr="006319C6">
        <w:rPr>
          <w:rFonts w:ascii="Bookman Old Style" w:hAnsi="Bookman Old Style" w:cs="Times New Roman"/>
          <w:sz w:val="28"/>
          <w:szCs w:val="28"/>
        </w:rPr>
        <w:t xml:space="preserve">tate. The same competing narratives were repeated in the courtroom: the first by </w:t>
      </w:r>
      <w:r w:rsidR="00B55B28" w:rsidRPr="006319C6">
        <w:rPr>
          <w:rFonts w:ascii="Bookman Old Style" w:hAnsi="Bookman Old Style" w:cs="Times New Roman"/>
          <w:sz w:val="28"/>
          <w:szCs w:val="28"/>
        </w:rPr>
        <w:t>the p</w:t>
      </w:r>
      <w:r w:rsidR="003402BD" w:rsidRPr="006319C6">
        <w:rPr>
          <w:rFonts w:ascii="Bookman Old Style" w:hAnsi="Bookman Old Style" w:cs="Times New Roman"/>
          <w:sz w:val="28"/>
          <w:szCs w:val="28"/>
        </w:rPr>
        <w:t>ro</w:t>
      </w:r>
      <w:r w:rsidR="00B55B28" w:rsidRPr="006319C6">
        <w:rPr>
          <w:rFonts w:ascii="Bookman Old Style" w:hAnsi="Bookman Old Style" w:cs="Times New Roman"/>
          <w:sz w:val="28"/>
          <w:szCs w:val="28"/>
        </w:rPr>
        <w:t>secution and the latter by the defens</w:t>
      </w:r>
      <w:r w:rsidR="003402BD" w:rsidRPr="006319C6">
        <w:rPr>
          <w:rFonts w:ascii="Bookman Old Style" w:hAnsi="Bookman Old Style" w:cs="Times New Roman"/>
          <w:sz w:val="28"/>
          <w:szCs w:val="28"/>
        </w:rPr>
        <w:t>e.</w:t>
      </w:r>
    </w:p>
    <w:p w14:paraId="039BF16C" w14:textId="2C948B85" w:rsidR="009E1765" w:rsidRPr="006319C6" w:rsidRDefault="003402BD" w:rsidP="00CC1447">
      <w:pPr>
        <w:autoSpaceDE w:val="0"/>
        <w:autoSpaceDN w:val="0"/>
        <w:adjustRightInd w:val="0"/>
        <w:jc w:val="both"/>
        <w:rPr>
          <w:rFonts w:ascii="Bookman Old Style" w:hAnsi="Bookman Old Style" w:cs="Times New Roman"/>
          <w:sz w:val="28"/>
          <w:szCs w:val="28"/>
        </w:rPr>
      </w:pPr>
      <w:r w:rsidRPr="006319C6">
        <w:rPr>
          <w:rFonts w:ascii="Bookman Old Style" w:hAnsi="Bookman Old Style" w:cs="Times New Roman"/>
          <w:sz w:val="28"/>
          <w:szCs w:val="28"/>
        </w:rPr>
        <w:tab/>
        <w:t xml:space="preserve"> The trial of Milo</w:t>
      </w:r>
      <w:r w:rsidRPr="006319C6">
        <w:rPr>
          <w:rFonts w:ascii="Bookman Old Style" w:hAnsi="Bookman Old Style" w:cs="Times New Roman"/>
          <w:sz w:val="28"/>
          <w:szCs w:val="28"/>
          <w:lang w:val="hr-HR"/>
        </w:rPr>
        <w:t>š</w:t>
      </w:r>
      <w:proofErr w:type="spellStart"/>
      <w:r w:rsidRPr="006319C6">
        <w:rPr>
          <w:rFonts w:ascii="Bookman Old Style" w:hAnsi="Bookman Old Style" w:cs="Times New Roman"/>
          <w:sz w:val="28"/>
          <w:szCs w:val="28"/>
        </w:rPr>
        <w:t>evi</w:t>
      </w:r>
      <w:proofErr w:type="spellEnd"/>
      <w:r w:rsidRPr="006319C6">
        <w:rPr>
          <w:rFonts w:ascii="Bookman Old Style" w:hAnsi="Bookman Old Style" w:cs="Times New Roman"/>
          <w:sz w:val="28"/>
          <w:szCs w:val="28"/>
          <w:lang w:val="hr-HR"/>
        </w:rPr>
        <w:t>ć</w:t>
      </w:r>
      <w:r w:rsidRPr="006319C6">
        <w:rPr>
          <w:rFonts w:ascii="Bookman Old Style" w:hAnsi="Bookman Old Style" w:cs="Times New Roman"/>
          <w:sz w:val="28"/>
          <w:szCs w:val="28"/>
        </w:rPr>
        <w:t xml:space="preserve"> was broadcast daily in the region. </w:t>
      </w:r>
      <w:proofErr w:type="spellStart"/>
      <w:r w:rsidRPr="006319C6">
        <w:rPr>
          <w:rFonts w:ascii="Bookman Old Style" w:hAnsi="Bookman Old Style" w:cs="Times New Roman"/>
          <w:sz w:val="28"/>
          <w:szCs w:val="28"/>
        </w:rPr>
        <w:t>Milošević</w:t>
      </w:r>
      <w:proofErr w:type="spellEnd"/>
      <w:r w:rsidRPr="006319C6">
        <w:rPr>
          <w:rFonts w:ascii="Bookman Old Style" w:hAnsi="Bookman Old Style" w:cs="Times New Roman"/>
          <w:sz w:val="28"/>
          <w:szCs w:val="28"/>
        </w:rPr>
        <w:t>, who also defended himself in the court, understood the importance of his courtroom time and was busy addressing his home audience by showing contempt and haughtiness towards the judges, prosecutors</w:t>
      </w:r>
      <w:r w:rsidR="00B55B28"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and occasionally towards prosecution witnesses.</w:t>
      </w:r>
      <w:r w:rsidRPr="006319C6">
        <w:rPr>
          <w:rStyle w:val="FootnoteReference"/>
          <w:rFonts w:ascii="Bookman Old Style" w:hAnsi="Bookman Old Style"/>
          <w:sz w:val="28"/>
          <w:szCs w:val="28"/>
        </w:rPr>
        <w:footnoteReference w:id="29"/>
      </w:r>
      <w:r w:rsidRPr="006319C6">
        <w:rPr>
          <w:rFonts w:ascii="Bookman Old Style" w:hAnsi="Bookman Old Style" w:cs="Times New Roman"/>
          <w:sz w:val="28"/>
          <w:szCs w:val="28"/>
        </w:rPr>
        <w:t xml:space="preserve"> He seemed to be aware </w:t>
      </w:r>
      <w:r w:rsidR="009E1765" w:rsidRPr="006319C6">
        <w:rPr>
          <w:rFonts w:ascii="Bookman Old Style" w:hAnsi="Bookman Old Style" w:cs="Times New Roman"/>
          <w:sz w:val="28"/>
          <w:szCs w:val="28"/>
        </w:rPr>
        <w:t>of</w:t>
      </w:r>
    </w:p>
    <w:p w14:paraId="00FA488A" w14:textId="77777777" w:rsidR="009E1765" w:rsidRPr="006319C6" w:rsidRDefault="009E1765" w:rsidP="00CC1447">
      <w:pPr>
        <w:autoSpaceDE w:val="0"/>
        <w:autoSpaceDN w:val="0"/>
        <w:adjustRightInd w:val="0"/>
        <w:jc w:val="both"/>
        <w:rPr>
          <w:rFonts w:ascii="Bookman Old Style" w:hAnsi="Bookman Old Style" w:cs="Times New Roman"/>
          <w:sz w:val="28"/>
          <w:szCs w:val="28"/>
        </w:rPr>
      </w:pPr>
    </w:p>
    <w:p w14:paraId="1CBD7DEC" w14:textId="77777777" w:rsidR="009E1765" w:rsidRPr="006319C6" w:rsidRDefault="009E1765" w:rsidP="00CC1447">
      <w:pPr>
        <w:autoSpaceDE w:val="0"/>
        <w:autoSpaceDN w:val="0"/>
        <w:adjustRightInd w:val="0"/>
        <w:jc w:val="both"/>
        <w:rPr>
          <w:rFonts w:ascii="Bookman Old Style" w:hAnsi="Bookman Old Style" w:cs="Times New Roman"/>
          <w:sz w:val="28"/>
          <w:szCs w:val="28"/>
        </w:rPr>
      </w:pPr>
    </w:p>
    <w:p w14:paraId="72354AF7" w14:textId="59B948EA" w:rsidR="003402BD" w:rsidRPr="006319C6" w:rsidRDefault="003402BD" w:rsidP="00CC1447">
      <w:pPr>
        <w:autoSpaceDE w:val="0"/>
        <w:autoSpaceDN w:val="0"/>
        <w:adjustRightInd w:val="0"/>
        <w:jc w:val="both"/>
        <w:rPr>
          <w:rFonts w:ascii="Bookman Old Style" w:hAnsi="Bookman Old Style" w:cs="Times New Roman"/>
          <w:sz w:val="28"/>
          <w:szCs w:val="28"/>
        </w:rPr>
      </w:pPr>
      <w:proofErr w:type="gramStart"/>
      <w:r w:rsidRPr="006319C6">
        <w:rPr>
          <w:rFonts w:ascii="Bookman Old Style" w:hAnsi="Bookman Old Style" w:cs="Times New Roman"/>
          <w:sz w:val="28"/>
          <w:szCs w:val="28"/>
        </w:rPr>
        <w:t>the</w:t>
      </w:r>
      <w:proofErr w:type="gramEnd"/>
      <w:r w:rsidRPr="006319C6">
        <w:rPr>
          <w:rFonts w:ascii="Bookman Old Style" w:hAnsi="Bookman Old Style" w:cs="Times New Roman"/>
          <w:sz w:val="28"/>
          <w:szCs w:val="28"/>
        </w:rPr>
        <w:t xml:space="preserve"> power of the </w:t>
      </w:r>
      <w:r w:rsidR="00806E59" w:rsidRPr="006319C6">
        <w:rPr>
          <w:rFonts w:ascii="Bookman Old Style" w:hAnsi="Bookman Old Style" w:cs="Times New Roman"/>
          <w:sz w:val="28"/>
          <w:szCs w:val="28"/>
        </w:rPr>
        <w:t>“</w:t>
      </w:r>
      <w:r w:rsidRPr="006319C6">
        <w:rPr>
          <w:rFonts w:ascii="Bookman Old Style" w:hAnsi="Bookman Old Style" w:cs="Times New Roman"/>
          <w:sz w:val="28"/>
          <w:szCs w:val="28"/>
        </w:rPr>
        <w:t>court of public opinion</w:t>
      </w:r>
      <w:r w:rsidR="00806E59"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as he offered a televised counter-narrative that he knew would be well received in Serbia, saying on one occasion: </w:t>
      </w:r>
    </w:p>
    <w:p w14:paraId="0189DB86" w14:textId="0E59DF30" w:rsidR="003402BD" w:rsidRPr="006319C6" w:rsidRDefault="003402BD" w:rsidP="00CC1447">
      <w:pPr>
        <w:pStyle w:val="Citati"/>
        <w:spacing w:line="240" w:lineRule="auto"/>
        <w:rPr>
          <w:rFonts w:ascii="Bookman Old Style" w:hAnsi="Bookman Old Style"/>
          <w:b/>
          <w:sz w:val="28"/>
          <w:szCs w:val="28"/>
        </w:rPr>
      </w:pPr>
      <w:r w:rsidRPr="006319C6">
        <w:rPr>
          <w:rFonts w:ascii="Bookman Old Style" w:hAnsi="Bookman Old Style"/>
          <w:sz w:val="28"/>
          <w:szCs w:val="28"/>
        </w:rPr>
        <w:t>In the international public, for a long time and with clear political intentions an untruthful, distorted picture was being created in terms of what happened in the territory of the former Yugoslavia. Accusations levelled against me are an unscrupulous lie and also a tireless distortion of history.  Everything has been presented in a lopsided manner so – in order to protect from responsibility those who are truly responsible and to draw the wrong conclusions about what happened and also in terms of the background of the war against Yugoslavia.</w:t>
      </w:r>
      <w:r w:rsidRPr="006319C6">
        <w:rPr>
          <w:rStyle w:val="FootnoteReference"/>
          <w:rFonts w:ascii="Bookman Old Style" w:hAnsi="Bookman Old Style"/>
          <w:sz w:val="28"/>
          <w:szCs w:val="28"/>
        </w:rPr>
        <w:footnoteReference w:id="30"/>
      </w:r>
    </w:p>
    <w:p w14:paraId="2ECBAAA1" w14:textId="77777777" w:rsidR="00E069F1" w:rsidRPr="006319C6" w:rsidRDefault="003402BD" w:rsidP="00E069F1">
      <w:pPr>
        <w:pStyle w:val="Paragraph"/>
        <w:spacing w:after="0" w:line="240" w:lineRule="auto"/>
        <w:rPr>
          <w:rFonts w:ascii="Bookman Old Style" w:hAnsi="Bookman Old Style"/>
          <w:sz w:val="28"/>
          <w:szCs w:val="28"/>
          <w:lang w:val="hr-HR"/>
        </w:rPr>
      </w:pPr>
      <w:r w:rsidRPr="006319C6">
        <w:rPr>
          <w:rFonts w:ascii="Bookman Old Style" w:hAnsi="Bookman Old Style"/>
          <w:sz w:val="28"/>
          <w:szCs w:val="28"/>
          <w:lang w:val="hr-HR"/>
        </w:rPr>
        <w:tab/>
        <w:t>The Milošević trial perpetuated the co</w:t>
      </w:r>
      <w:r w:rsidR="00E069F1" w:rsidRPr="006319C6">
        <w:rPr>
          <w:rFonts w:ascii="Bookman Old Style" w:hAnsi="Bookman Old Style"/>
          <w:sz w:val="28"/>
          <w:szCs w:val="28"/>
          <w:lang w:val="hr-HR"/>
        </w:rPr>
        <w:t xml:space="preserve">ntested narratives that </w:t>
      </w:r>
      <w:r w:rsidRPr="006319C6">
        <w:rPr>
          <w:rFonts w:ascii="Bookman Old Style" w:hAnsi="Bookman Old Style"/>
          <w:sz w:val="28"/>
          <w:szCs w:val="28"/>
          <w:lang w:val="hr-HR"/>
        </w:rPr>
        <w:t>existed before the trial started. Those pre-e</w:t>
      </w:r>
      <w:r w:rsidR="00E069F1" w:rsidRPr="006319C6">
        <w:rPr>
          <w:rFonts w:ascii="Bookman Old Style" w:hAnsi="Bookman Old Style"/>
          <w:sz w:val="28"/>
          <w:szCs w:val="28"/>
          <w:lang w:val="hr-HR"/>
        </w:rPr>
        <w:t xml:space="preserve">xisting </w:t>
      </w:r>
      <w:r w:rsidR="00E069F1" w:rsidRPr="006319C6">
        <w:rPr>
          <w:rFonts w:ascii="Bookman Old Style" w:hAnsi="Bookman Old Style"/>
          <w:sz w:val="28"/>
          <w:szCs w:val="28"/>
          <w:lang w:val="hr-HR"/>
        </w:rPr>
        <w:lastRenderedPageBreak/>
        <w:t xml:space="preserve">narratives </w:t>
      </w:r>
      <w:r w:rsidRPr="006319C6">
        <w:rPr>
          <w:rFonts w:ascii="Bookman Old Style" w:hAnsi="Bookman Old Style"/>
          <w:sz w:val="28"/>
          <w:szCs w:val="28"/>
          <w:lang w:val="hr-HR"/>
        </w:rPr>
        <w:t>were sustained throughout the trial because of the adversarial legal procedur</w:t>
      </w:r>
      <w:r w:rsidR="00154A49" w:rsidRPr="006319C6">
        <w:rPr>
          <w:rFonts w:ascii="Bookman Old Style" w:hAnsi="Bookman Old Style"/>
          <w:sz w:val="28"/>
          <w:szCs w:val="28"/>
          <w:lang w:val="hr-HR"/>
        </w:rPr>
        <w:t>es.</w:t>
      </w:r>
      <w:r w:rsidRPr="006319C6">
        <w:rPr>
          <w:rFonts w:ascii="Bookman Old Style" w:hAnsi="Bookman Old Style"/>
          <w:sz w:val="28"/>
          <w:szCs w:val="28"/>
          <w:lang w:val="hr-HR"/>
        </w:rPr>
        <w:t xml:space="preserve"> </w:t>
      </w:r>
    </w:p>
    <w:p w14:paraId="3223EE40" w14:textId="77777777" w:rsidR="00D435DA" w:rsidRPr="006319C6" w:rsidRDefault="00D435DA" w:rsidP="00E069F1">
      <w:pPr>
        <w:pStyle w:val="Paragraph"/>
        <w:spacing w:after="0" w:line="240" w:lineRule="auto"/>
        <w:rPr>
          <w:rFonts w:ascii="Bookman Old Style" w:hAnsi="Bookman Old Style"/>
          <w:b/>
          <w:sz w:val="28"/>
          <w:szCs w:val="28"/>
          <w:lang w:val="hr-HR"/>
        </w:rPr>
      </w:pPr>
    </w:p>
    <w:p w14:paraId="070EF097" w14:textId="492EE58B" w:rsidR="003402BD" w:rsidRPr="006319C6" w:rsidRDefault="003402BD" w:rsidP="00E069F1">
      <w:pPr>
        <w:pStyle w:val="Paragraph"/>
        <w:spacing w:after="0" w:line="240" w:lineRule="auto"/>
        <w:rPr>
          <w:rFonts w:ascii="Bookman Old Style" w:hAnsi="Bookman Old Style"/>
          <w:sz w:val="28"/>
          <w:szCs w:val="28"/>
          <w:lang w:val="hr-HR"/>
        </w:rPr>
      </w:pPr>
      <w:r w:rsidRPr="006319C6">
        <w:rPr>
          <w:rFonts w:ascii="Bookman Old Style" w:hAnsi="Bookman Old Style"/>
          <w:b/>
          <w:sz w:val="28"/>
          <w:szCs w:val="28"/>
          <w:lang w:val="hr-HR"/>
        </w:rPr>
        <w:t>Judgments</w:t>
      </w:r>
      <w:r w:rsidR="00240D80" w:rsidRPr="006319C6">
        <w:rPr>
          <w:rFonts w:ascii="Bookman Old Style" w:hAnsi="Bookman Old Style"/>
          <w:b/>
          <w:sz w:val="28"/>
          <w:szCs w:val="28"/>
          <w:lang w:val="hr-HR"/>
        </w:rPr>
        <w:t>,</w:t>
      </w:r>
      <w:r w:rsidRPr="006319C6">
        <w:rPr>
          <w:rFonts w:ascii="Bookman Old Style" w:hAnsi="Bookman Old Style"/>
          <w:b/>
          <w:sz w:val="28"/>
          <w:szCs w:val="28"/>
          <w:lang w:val="hr-HR"/>
        </w:rPr>
        <w:t xml:space="preserve"> Historical Record</w:t>
      </w:r>
      <w:r w:rsidR="00240D80" w:rsidRPr="006319C6">
        <w:rPr>
          <w:rFonts w:ascii="Bookman Old Style" w:hAnsi="Bookman Old Style"/>
          <w:b/>
          <w:sz w:val="28"/>
          <w:szCs w:val="28"/>
          <w:lang w:val="hr-HR"/>
        </w:rPr>
        <w:t xml:space="preserve"> and Historical Narrative</w:t>
      </w:r>
    </w:p>
    <w:p w14:paraId="70F7B844" w14:textId="77777777" w:rsidR="00E069F1" w:rsidRPr="006319C6" w:rsidRDefault="003402BD"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p>
    <w:p w14:paraId="62435D16" w14:textId="39A97B67" w:rsidR="00154A49" w:rsidRPr="006319C6" w:rsidRDefault="00E069F1" w:rsidP="00A9165D">
      <w:pPr>
        <w:pStyle w:val="Paragraph"/>
        <w:spacing w:before="0" w:after="0" w:line="240" w:lineRule="auto"/>
        <w:rPr>
          <w:rFonts w:ascii="Bookman Old Style" w:hAnsi="Bookman Old Style"/>
          <w:sz w:val="28"/>
          <w:szCs w:val="28"/>
          <w:lang w:val="en-GB"/>
        </w:rPr>
      </w:pPr>
      <w:r w:rsidRPr="006319C6">
        <w:rPr>
          <w:rFonts w:ascii="Bookman Old Style" w:hAnsi="Bookman Old Style"/>
          <w:sz w:val="28"/>
          <w:szCs w:val="28"/>
        </w:rPr>
        <w:tab/>
      </w:r>
      <w:r w:rsidR="003402BD" w:rsidRPr="006319C6">
        <w:rPr>
          <w:rFonts w:ascii="Bookman Old Style" w:hAnsi="Bookman Old Style"/>
          <w:sz w:val="28"/>
          <w:szCs w:val="28"/>
        </w:rPr>
        <w:t>Do judgm</w:t>
      </w:r>
      <w:r w:rsidRPr="006319C6">
        <w:rPr>
          <w:rFonts w:ascii="Bookman Old Style" w:hAnsi="Bookman Old Style"/>
          <w:sz w:val="28"/>
          <w:szCs w:val="28"/>
        </w:rPr>
        <w:t>e</w:t>
      </w:r>
      <w:r w:rsidR="003402BD" w:rsidRPr="006319C6">
        <w:rPr>
          <w:rFonts w:ascii="Bookman Old Style" w:hAnsi="Bookman Old Style"/>
          <w:sz w:val="28"/>
          <w:szCs w:val="28"/>
        </w:rPr>
        <w:t>nts reduce disputes over historical narratives? Do they establish a history closer to truth? Are they “second drafts of history”</w:t>
      </w:r>
      <w:r w:rsidRPr="006319C6">
        <w:rPr>
          <w:rFonts w:ascii="Bookman Old Style" w:hAnsi="Bookman Old Style"/>
          <w:sz w:val="28"/>
          <w:szCs w:val="28"/>
        </w:rPr>
        <w:t>,</w:t>
      </w:r>
      <w:r w:rsidR="003402BD" w:rsidRPr="006319C6">
        <w:rPr>
          <w:rFonts w:ascii="Bookman Old Style" w:hAnsi="Bookman Old Style"/>
          <w:sz w:val="28"/>
          <w:szCs w:val="28"/>
        </w:rPr>
        <w:t xml:space="preserve"> as some authors claim.</w:t>
      </w:r>
      <w:r w:rsidR="003402BD" w:rsidRPr="006319C6">
        <w:rPr>
          <w:rStyle w:val="FootnoteReference"/>
          <w:rFonts w:ascii="Bookman Old Style" w:hAnsi="Bookman Old Style"/>
          <w:sz w:val="28"/>
          <w:szCs w:val="28"/>
        </w:rPr>
        <w:footnoteReference w:id="31"/>
      </w:r>
      <w:r w:rsidR="00154A49" w:rsidRPr="006319C6">
        <w:rPr>
          <w:rFonts w:ascii="Bookman Old Style" w:hAnsi="Bookman Old Style"/>
          <w:sz w:val="28"/>
          <w:szCs w:val="28"/>
        </w:rPr>
        <w:t xml:space="preserve"> </w:t>
      </w:r>
      <w:r w:rsidR="003402BD" w:rsidRPr="006319C6">
        <w:rPr>
          <w:rFonts w:ascii="Bookman Old Style" w:hAnsi="Bookman Old Style"/>
          <w:sz w:val="28"/>
          <w:szCs w:val="28"/>
        </w:rPr>
        <w:t>In the early years of the ICTY with the first judgment delivered, the presiding judge Antonio Cassese</w:t>
      </w:r>
      <w:r w:rsidR="00D90341" w:rsidRPr="006319C6">
        <w:rPr>
          <w:rFonts w:ascii="Bookman Old Style" w:hAnsi="Bookman Old Style"/>
          <w:sz w:val="28"/>
          <w:szCs w:val="28"/>
        </w:rPr>
        <w:t xml:space="preserve"> (1937-2011)</w:t>
      </w:r>
      <w:r w:rsidR="003402BD" w:rsidRPr="006319C6">
        <w:rPr>
          <w:rFonts w:ascii="Bookman Old Style" w:hAnsi="Bookman Old Style"/>
          <w:sz w:val="28"/>
          <w:szCs w:val="28"/>
        </w:rPr>
        <w:t xml:space="preserve"> expressed an expectation that the judgment would deliver judicial facts that “no revisionism or amnesia” could erase.</w:t>
      </w:r>
      <w:r w:rsidR="003402BD" w:rsidRPr="006319C6">
        <w:rPr>
          <w:rStyle w:val="FootnoteReference"/>
          <w:rFonts w:ascii="Bookman Old Style" w:hAnsi="Bookman Old Style"/>
          <w:iCs/>
          <w:sz w:val="28"/>
          <w:szCs w:val="28"/>
          <w:lang w:eastAsia="en-GB"/>
        </w:rPr>
        <w:footnoteReference w:id="32"/>
      </w:r>
      <w:r w:rsidR="003402BD" w:rsidRPr="006319C6">
        <w:rPr>
          <w:rFonts w:ascii="Bookman Old Style" w:hAnsi="Bookman Old Style"/>
          <w:sz w:val="28"/>
          <w:szCs w:val="28"/>
        </w:rPr>
        <w:t xml:space="preserve">  How does this noble objective work in reality?</w:t>
      </w:r>
      <w:r w:rsidR="003402BD" w:rsidRPr="006319C6">
        <w:rPr>
          <w:rFonts w:ascii="Bookman Old Style" w:hAnsi="Bookman Old Style"/>
          <w:sz w:val="28"/>
          <w:szCs w:val="28"/>
          <w:lang w:val="en-GB"/>
        </w:rPr>
        <w:t xml:space="preserve"> Is a judgment the ultimate goal of justice? Or can the judgm</w:t>
      </w:r>
      <w:r w:rsidR="00154A49" w:rsidRPr="006319C6">
        <w:rPr>
          <w:rFonts w:ascii="Bookman Old Style" w:hAnsi="Bookman Old Style"/>
          <w:sz w:val="28"/>
          <w:szCs w:val="28"/>
          <w:lang w:val="en-GB"/>
        </w:rPr>
        <w:t>e</w:t>
      </w:r>
      <w:r w:rsidR="003402BD" w:rsidRPr="006319C6">
        <w:rPr>
          <w:rFonts w:ascii="Bookman Old Style" w:hAnsi="Bookman Old Style"/>
          <w:sz w:val="28"/>
          <w:szCs w:val="28"/>
          <w:lang w:val="en-GB"/>
        </w:rPr>
        <w:t>nts sometimes fail to achieve justice and thus compromise the historical truth and ce</w:t>
      </w:r>
      <w:r w:rsidR="00D90341" w:rsidRPr="006319C6">
        <w:rPr>
          <w:rFonts w:ascii="Bookman Old Style" w:hAnsi="Bookman Old Style"/>
          <w:sz w:val="28"/>
          <w:szCs w:val="28"/>
          <w:lang w:val="en-GB"/>
        </w:rPr>
        <w:t>ment existing polariz</w:t>
      </w:r>
      <w:r w:rsidR="003402BD" w:rsidRPr="006319C6">
        <w:rPr>
          <w:rFonts w:ascii="Bookman Old Style" w:hAnsi="Bookman Old Style"/>
          <w:sz w:val="28"/>
          <w:szCs w:val="28"/>
          <w:lang w:val="en-GB"/>
        </w:rPr>
        <w:t>ed historical narratives? Or can they, especially when quoted selectively and out of context, sometimes serve as powerful arguments in the hands of deniers of past crimes?</w:t>
      </w:r>
    </w:p>
    <w:p w14:paraId="2C456E48" w14:textId="32FA858F" w:rsidR="003402BD" w:rsidRPr="006319C6" w:rsidRDefault="003402BD" w:rsidP="00A9165D">
      <w:pPr>
        <w:pStyle w:val="Paragraph"/>
        <w:spacing w:before="0" w:after="0" w:line="240" w:lineRule="auto"/>
        <w:ind w:firstLine="720"/>
        <w:rPr>
          <w:rFonts w:ascii="Bookman Old Style" w:hAnsi="Bookman Old Style"/>
          <w:sz w:val="28"/>
          <w:szCs w:val="28"/>
        </w:rPr>
      </w:pPr>
      <w:r w:rsidRPr="006319C6">
        <w:rPr>
          <w:rFonts w:ascii="Bookman Old Style" w:hAnsi="Bookman Old Style"/>
          <w:sz w:val="28"/>
          <w:szCs w:val="28"/>
          <w:lang w:val="hr-HR"/>
        </w:rPr>
        <w:t xml:space="preserve">In August 2016, some five months after the prounouncement of the ICTY Karadžić judgment , Deputy Prime Minister and Minister of Foreign Affairs of Serbia Ivica Dačić stated in the media that the ICTY Karadžić judgment </w:t>
      </w:r>
      <w:r w:rsidRPr="006319C6">
        <w:rPr>
          <w:rFonts w:ascii="Bookman Old Style" w:hAnsi="Bookman Old Style"/>
          <w:sz w:val="28"/>
          <w:szCs w:val="28"/>
        </w:rPr>
        <w:t xml:space="preserve">exonerated former President Slobodan Milošević and the state of Serbia from any criminal responsibility for </w:t>
      </w:r>
      <w:r w:rsidR="00DB7789" w:rsidRPr="006319C6">
        <w:rPr>
          <w:rFonts w:ascii="Bookman Old Style" w:hAnsi="Bookman Old Style"/>
          <w:sz w:val="28"/>
          <w:szCs w:val="28"/>
        </w:rPr>
        <w:t>mass atrocities committed in Bosnia and Herzogovina</w:t>
      </w:r>
      <w:r w:rsidRPr="006319C6">
        <w:rPr>
          <w:rFonts w:ascii="Bookman Old Style" w:hAnsi="Bookman Old Style"/>
          <w:sz w:val="28"/>
          <w:szCs w:val="28"/>
        </w:rPr>
        <w:t>.</w:t>
      </w:r>
      <w:r w:rsidRPr="006319C6">
        <w:rPr>
          <w:rStyle w:val="FootnoteReference"/>
          <w:rFonts w:ascii="Bookman Old Style" w:hAnsi="Bookman Old Style"/>
          <w:sz w:val="28"/>
          <w:szCs w:val="28"/>
        </w:rPr>
        <w:footnoteReference w:id="33"/>
      </w:r>
      <w:r w:rsidRPr="006319C6">
        <w:rPr>
          <w:rFonts w:ascii="Bookman Old Style" w:hAnsi="Bookman Old Style"/>
          <w:sz w:val="28"/>
          <w:szCs w:val="28"/>
        </w:rPr>
        <w:t>  To support this assertion Ministe</w:t>
      </w:r>
      <w:r w:rsidR="00DB7789" w:rsidRPr="006319C6">
        <w:rPr>
          <w:rFonts w:ascii="Bookman Old Style" w:hAnsi="Bookman Old Style"/>
          <w:sz w:val="28"/>
          <w:szCs w:val="28"/>
        </w:rPr>
        <w:t>r Dačić cited an online article</w:t>
      </w:r>
      <w:r w:rsidRPr="006319C6">
        <w:rPr>
          <w:rFonts w:ascii="Bookman Old Style" w:hAnsi="Bookman Old Style"/>
          <w:sz w:val="28"/>
          <w:szCs w:val="28"/>
        </w:rPr>
        <w:t xml:space="preserve"> in which the author quoted selected par</w:t>
      </w:r>
      <w:r w:rsidR="00DB7789" w:rsidRPr="006319C6">
        <w:rPr>
          <w:rFonts w:ascii="Bookman Old Style" w:hAnsi="Bookman Old Style"/>
          <w:sz w:val="28"/>
          <w:szCs w:val="28"/>
        </w:rPr>
        <w:t>agraphs from the judgment;</w:t>
      </w:r>
      <w:r w:rsidRPr="006319C6">
        <w:rPr>
          <w:rFonts w:ascii="Bookman Old Style" w:hAnsi="Bookman Old Style"/>
          <w:sz w:val="28"/>
          <w:szCs w:val="28"/>
        </w:rPr>
        <w:t xml:space="preserve"> he argued</w:t>
      </w:r>
      <w:r w:rsidR="00DB7789" w:rsidRPr="006319C6">
        <w:rPr>
          <w:rFonts w:ascii="Bookman Old Style" w:hAnsi="Bookman Old Style"/>
          <w:sz w:val="28"/>
          <w:szCs w:val="28"/>
        </w:rPr>
        <w:t xml:space="preserve"> that these</w:t>
      </w:r>
      <w:r w:rsidRPr="006319C6">
        <w:rPr>
          <w:rFonts w:ascii="Bookman Old Style" w:hAnsi="Bookman Old Style"/>
          <w:sz w:val="28"/>
          <w:szCs w:val="28"/>
        </w:rPr>
        <w:t xml:space="preserve"> exonerated Milo</w:t>
      </w:r>
      <w:r w:rsidRPr="006319C6">
        <w:rPr>
          <w:rFonts w:ascii="Bookman Old Style" w:hAnsi="Bookman Old Style"/>
          <w:sz w:val="28"/>
          <w:szCs w:val="28"/>
          <w:lang w:val="hr-HR"/>
        </w:rPr>
        <w:t>š</w:t>
      </w:r>
      <w:r w:rsidRPr="006319C6">
        <w:rPr>
          <w:rFonts w:ascii="Bookman Old Style" w:hAnsi="Bookman Old Style"/>
          <w:sz w:val="28"/>
          <w:szCs w:val="28"/>
        </w:rPr>
        <w:t>ević.</w:t>
      </w:r>
      <w:r w:rsidRPr="006319C6">
        <w:rPr>
          <w:rStyle w:val="FootnoteReference"/>
          <w:rFonts w:ascii="Bookman Old Style" w:hAnsi="Bookman Old Style"/>
          <w:sz w:val="28"/>
          <w:szCs w:val="28"/>
        </w:rPr>
        <w:footnoteReference w:id="34"/>
      </w:r>
      <w:r w:rsidRPr="006319C6">
        <w:rPr>
          <w:rFonts w:ascii="Bookman Old Style" w:hAnsi="Bookman Old Style"/>
          <w:sz w:val="28"/>
          <w:szCs w:val="28"/>
        </w:rPr>
        <w:t xml:space="preserve">  The </w:t>
      </w:r>
      <w:r w:rsidR="00806E59" w:rsidRPr="006319C6">
        <w:rPr>
          <w:rFonts w:ascii="Bookman Old Style" w:hAnsi="Bookman Old Style"/>
          <w:sz w:val="28"/>
          <w:szCs w:val="28"/>
        </w:rPr>
        <w:t>“</w:t>
      </w:r>
      <w:r w:rsidRPr="006319C6">
        <w:rPr>
          <w:rFonts w:ascii="Bookman Old Style" w:hAnsi="Bookman Old Style"/>
          <w:sz w:val="28"/>
          <w:szCs w:val="28"/>
        </w:rPr>
        <w:t>news</w:t>
      </w:r>
      <w:r w:rsidR="00806E59" w:rsidRPr="006319C6">
        <w:rPr>
          <w:rFonts w:ascii="Bookman Old Style" w:hAnsi="Bookman Old Style"/>
          <w:sz w:val="28"/>
          <w:szCs w:val="28"/>
        </w:rPr>
        <w:t>”</w:t>
      </w:r>
      <w:r w:rsidRPr="006319C6">
        <w:rPr>
          <w:rFonts w:ascii="Bookman Old Style" w:hAnsi="Bookman Old Style"/>
          <w:sz w:val="28"/>
          <w:szCs w:val="28"/>
        </w:rPr>
        <w:t xml:space="preserve"> on the exoneration of Milošević spread further via some well distributed online publications.</w:t>
      </w:r>
      <w:r w:rsidRPr="006319C6">
        <w:rPr>
          <w:rStyle w:val="FootnoteReference"/>
          <w:rFonts w:ascii="Bookman Old Style" w:hAnsi="Bookman Old Style"/>
          <w:sz w:val="28"/>
          <w:szCs w:val="28"/>
        </w:rPr>
        <w:footnoteReference w:id="35"/>
      </w:r>
      <w:r w:rsidRPr="006319C6">
        <w:rPr>
          <w:rFonts w:ascii="Bookman Old Style" w:hAnsi="Bookman Old Style"/>
          <w:sz w:val="28"/>
          <w:szCs w:val="28"/>
        </w:rPr>
        <w:t xml:space="preserve"> </w:t>
      </w:r>
    </w:p>
    <w:p w14:paraId="342F282A" w14:textId="77777777" w:rsidR="009E1765" w:rsidRPr="006319C6" w:rsidRDefault="003402BD"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lastRenderedPageBreak/>
        <w:tab/>
      </w:r>
    </w:p>
    <w:p w14:paraId="7EA479C6" w14:textId="69DACC35" w:rsidR="003402BD" w:rsidRPr="006319C6" w:rsidRDefault="009E1765"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r w:rsidR="003402BD" w:rsidRPr="006319C6">
        <w:rPr>
          <w:rFonts w:ascii="Bookman Old Style" w:hAnsi="Bookman Old Style"/>
          <w:sz w:val="28"/>
          <w:szCs w:val="28"/>
        </w:rPr>
        <w:t>What do the cited paragraph</w:t>
      </w:r>
      <w:r w:rsidR="00154A49" w:rsidRPr="006319C6">
        <w:rPr>
          <w:rFonts w:ascii="Bookman Old Style" w:hAnsi="Bookman Old Style"/>
          <w:sz w:val="28"/>
          <w:szCs w:val="28"/>
        </w:rPr>
        <w:t>s</w:t>
      </w:r>
      <w:r w:rsidR="003402BD" w:rsidRPr="006319C6">
        <w:rPr>
          <w:rFonts w:ascii="Bookman Old Style" w:hAnsi="Bookman Old Style"/>
          <w:sz w:val="28"/>
          <w:szCs w:val="28"/>
        </w:rPr>
        <w:t xml:space="preserve"> actually contain? Paragraph 3460 on page 1,303 states that Milo</w:t>
      </w:r>
      <w:r w:rsidR="003402BD" w:rsidRPr="006319C6">
        <w:rPr>
          <w:rFonts w:ascii="Bookman Old Style" w:hAnsi="Bookman Old Style"/>
          <w:sz w:val="28"/>
          <w:szCs w:val="28"/>
          <w:lang w:val="hr-HR"/>
        </w:rPr>
        <w:t>š</w:t>
      </w:r>
      <w:r w:rsidR="003402BD" w:rsidRPr="006319C6">
        <w:rPr>
          <w:rFonts w:ascii="Bookman Old Style" w:hAnsi="Bookman Old Style"/>
          <w:sz w:val="28"/>
          <w:szCs w:val="28"/>
        </w:rPr>
        <w:t>ević provided assistance in personnel, provisions</w:t>
      </w:r>
      <w:r w:rsidR="001E4D30" w:rsidRPr="006319C6">
        <w:rPr>
          <w:rFonts w:ascii="Bookman Old Style" w:hAnsi="Bookman Old Style"/>
          <w:sz w:val="28"/>
          <w:szCs w:val="28"/>
        </w:rPr>
        <w:t>,</w:t>
      </w:r>
      <w:r w:rsidR="003402BD" w:rsidRPr="006319C6">
        <w:rPr>
          <w:rFonts w:ascii="Bookman Old Style" w:hAnsi="Bookman Old Style"/>
          <w:sz w:val="28"/>
          <w:szCs w:val="28"/>
        </w:rPr>
        <w:t xml:space="preserve"> and arms to Bosnian Serbs during the conflict.</w:t>
      </w:r>
      <w:r w:rsidR="003402BD" w:rsidRPr="006319C6">
        <w:rPr>
          <w:rStyle w:val="FootnoteReference"/>
          <w:rFonts w:ascii="Bookman Old Style" w:hAnsi="Bookman Old Style"/>
          <w:sz w:val="28"/>
          <w:szCs w:val="28"/>
        </w:rPr>
        <w:footnoteReference w:id="36"/>
      </w:r>
      <w:r w:rsidR="003402BD" w:rsidRPr="006319C6">
        <w:rPr>
          <w:rFonts w:ascii="Bookman Old Style" w:hAnsi="Bookman Old Style"/>
          <w:sz w:val="28"/>
          <w:szCs w:val="28"/>
        </w:rPr>
        <w:t xml:space="preserve"> The same paragraph also concludes that there was no sufficient evidence to prove that Milošević </w:t>
      </w:r>
      <w:r w:rsidR="001E4D30" w:rsidRPr="006319C6">
        <w:rPr>
          <w:rFonts w:ascii="Bookman Old Style" w:hAnsi="Bookman Old Style"/>
          <w:sz w:val="28"/>
          <w:szCs w:val="28"/>
        </w:rPr>
        <w:t>had agreed with the common plan; that is,</w:t>
      </w:r>
      <w:r w:rsidR="003402BD" w:rsidRPr="006319C6">
        <w:rPr>
          <w:rFonts w:ascii="Bookman Old Style" w:hAnsi="Bookman Old Style"/>
          <w:sz w:val="28"/>
          <w:szCs w:val="28"/>
        </w:rPr>
        <w:t xml:space="preserve"> the plan to create the ethnically hom</w:t>
      </w:r>
      <w:r w:rsidR="001E4D30" w:rsidRPr="006319C6">
        <w:rPr>
          <w:rFonts w:ascii="Bookman Old Style" w:hAnsi="Bookman Old Style"/>
          <w:sz w:val="28"/>
          <w:szCs w:val="28"/>
        </w:rPr>
        <w:t>ogeneous Serb territories in Bosnia and Herzogovina</w:t>
      </w:r>
      <w:r w:rsidR="003402BD" w:rsidRPr="006319C6">
        <w:rPr>
          <w:rFonts w:ascii="Bookman Old Style" w:hAnsi="Bookman Old Style"/>
          <w:sz w:val="28"/>
          <w:szCs w:val="28"/>
        </w:rPr>
        <w:t xml:space="preserve"> cleansed of non-Ser</w:t>
      </w:r>
      <w:r w:rsidR="001E4D30" w:rsidRPr="006319C6">
        <w:rPr>
          <w:rFonts w:ascii="Bookman Old Style" w:hAnsi="Bookman Old Style"/>
          <w:sz w:val="28"/>
          <w:szCs w:val="28"/>
        </w:rPr>
        <w:t>bs. The quo</w:t>
      </w:r>
      <w:r w:rsidR="003402BD" w:rsidRPr="006319C6">
        <w:rPr>
          <w:rFonts w:ascii="Bookman Old Style" w:hAnsi="Bookman Old Style"/>
          <w:sz w:val="28"/>
          <w:szCs w:val="28"/>
        </w:rPr>
        <w:t xml:space="preserve">ted paragraph might read as a negative statement about insufficency of evidence and in no way an assertion of Milošević’s – let alone Serbia’s – proven </w:t>
      </w:r>
      <w:r w:rsidR="00154A49" w:rsidRPr="006319C6">
        <w:rPr>
          <w:rFonts w:ascii="Bookman Old Style" w:hAnsi="Bookman Old Style"/>
          <w:sz w:val="28"/>
          <w:szCs w:val="28"/>
        </w:rPr>
        <w:t>exoneration</w:t>
      </w:r>
      <w:r w:rsidR="003402BD" w:rsidRPr="006319C6">
        <w:rPr>
          <w:rFonts w:ascii="Bookman Old Style" w:hAnsi="Bookman Old Style"/>
          <w:sz w:val="28"/>
          <w:szCs w:val="28"/>
        </w:rPr>
        <w:t>.</w:t>
      </w:r>
    </w:p>
    <w:p w14:paraId="3CFDB8CF" w14:textId="77777777" w:rsidR="006B3D59" w:rsidRPr="006319C6" w:rsidRDefault="006B3D59" w:rsidP="006B3D59">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t>Minister Dačić</w:t>
      </w:r>
      <w:r w:rsidR="003402BD" w:rsidRPr="006319C6">
        <w:rPr>
          <w:rFonts w:ascii="Bookman Old Style" w:hAnsi="Bookman Old Style"/>
          <w:sz w:val="28"/>
          <w:szCs w:val="28"/>
        </w:rPr>
        <w:t xml:space="preserve"> added that the quoted</w:t>
      </w:r>
      <w:r w:rsidRPr="006319C6">
        <w:rPr>
          <w:rFonts w:ascii="Bookman Old Style" w:hAnsi="Bookman Old Style"/>
          <w:sz w:val="28"/>
          <w:szCs w:val="28"/>
        </w:rPr>
        <w:t xml:space="preserve"> paragraph also exonerated the S</w:t>
      </w:r>
      <w:r w:rsidR="003402BD" w:rsidRPr="006319C6">
        <w:rPr>
          <w:rFonts w:ascii="Bookman Old Style" w:hAnsi="Bookman Old Style"/>
          <w:sz w:val="28"/>
          <w:szCs w:val="28"/>
        </w:rPr>
        <w:t>tate of Serbia.</w:t>
      </w:r>
      <w:r w:rsidR="003402BD" w:rsidRPr="006319C6">
        <w:rPr>
          <w:rStyle w:val="FootnoteReference"/>
          <w:rFonts w:ascii="Bookman Old Style" w:hAnsi="Bookman Old Style"/>
          <w:sz w:val="28"/>
          <w:szCs w:val="28"/>
        </w:rPr>
        <w:footnoteReference w:id="37"/>
      </w:r>
      <w:r w:rsidR="003402BD" w:rsidRPr="006319C6">
        <w:rPr>
          <w:rFonts w:ascii="Bookman Old Style" w:hAnsi="Bookman Old Style"/>
          <w:sz w:val="28"/>
          <w:szCs w:val="28"/>
        </w:rPr>
        <w:t xml:space="preserve"> His words resonated in the region. He was not just any representative of the Serbian government; he was a politician who was responsible for </w:t>
      </w:r>
      <w:r w:rsidR="00ED279D" w:rsidRPr="006319C6">
        <w:rPr>
          <w:rFonts w:ascii="Bookman Old Style" w:hAnsi="Bookman Old Style"/>
          <w:sz w:val="28"/>
          <w:szCs w:val="28"/>
        </w:rPr>
        <w:t xml:space="preserve">the </w:t>
      </w:r>
      <w:r w:rsidR="003402BD" w:rsidRPr="006319C6">
        <w:rPr>
          <w:rFonts w:ascii="Bookman Old Style" w:hAnsi="Bookman Old Style"/>
          <w:sz w:val="28"/>
          <w:szCs w:val="28"/>
        </w:rPr>
        <w:t>revival of the</w:t>
      </w:r>
      <w:r w:rsidRPr="006319C6">
        <w:rPr>
          <w:rFonts w:ascii="Bookman Old Style" w:hAnsi="Bookman Old Style"/>
          <w:sz w:val="28"/>
          <w:szCs w:val="28"/>
        </w:rPr>
        <w:t xml:space="preserve"> Socialist Party of Serbia (</w:t>
      </w:r>
      <w:r w:rsidR="003402BD" w:rsidRPr="006319C6">
        <w:rPr>
          <w:rFonts w:ascii="Bookman Old Style" w:hAnsi="Bookman Old Style"/>
          <w:sz w:val="28"/>
          <w:szCs w:val="28"/>
        </w:rPr>
        <w:t>SPS), the party Milo</w:t>
      </w:r>
      <w:r w:rsidR="003402BD" w:rsidRPr="006319C6">
        <w:rPr>
          <w:rFonts w:ascii="Bookman Old Style" w:hAnsi="Bookman Old Style"/>
          <w:sz w:val="28"/>
          <w:szCs w:val="28"/>
          <w:lang w:val="hr-HR"/>
        </w:rPr>
        <w:t xml:space="preserve">šević had founded in 1990. Once </w:t>
      </w:r>
      <w:r w:rsidR="003402BD" w:rsidRPr="006319C6">
        <w:rPr>
          <w:rFonts w:ascii="Bookman Old Style" w:hAnsi="Bookman Old Style"/>
          <w:sz w:val="28"/>
          <w:szCs w:val="28"/>
        </w:rPr>
        <w:t>nicknamed by the media as Mali Slobo (Little Slobo) for his admiring imitation of Slobodan Miloševi</w:t>
      </w:r>
      <w:r w:rsidR="003402BD" w:rsidRPr="006319C6">
        <w:rPr>
          <w:rFonts w:ascii="Bookman Old Style" w:hAnsi="Bookman Old Style"/>
          <w:sz w:val="28"/>
          <w:szCs w:val="28"/>
          <w:lang w:val="hr-HR"/>
        </w:rPr>
        <w:t>ć, Dačić took over the leadership of the SPS in</w:t>
      </w:r>
      <w:r w:rsidR="003402BD" w:rsidRPr="006319C6">
        <w:rPr>
          <w:rFonts w:ascii="Bookman Old Style" w:hAnsi="Bookman Old Style"/>
          <w:sz w:val="28"/>
          <w:szCs w:val="28"/>
        </w:rPr>
        <w:t xml:space="preserve"> 2006 and since 2008 the SPS has been a coalition partner in all subsequent governments of Serbia, continuing the political legacy of Milošević. In legal parlance it may be described as an </w:t>
      </w:r>
      <w:r w:rsidR="00806E59" w:rsidRPr="006319C6">
        <w:rPr>
          <w:rFonts w:ascii="Bookman Old Style" w:hAnsi="Bookman Old Style"/>
          <w:sz w:val="28"/>
          <w:szCs w:val="28"/>
        </w:rPr>
        <w:t>“</w:t>
      </w:r>
      <w:r w:rsidR="003402BD" w:rsidRPr="006319C6">
        <w:rPr>
          <w:rFonts w:ascii="Bookman Old Style" w:hAnsi="Bookman Old Style"/>
          <w:sz w:val="28"/>
          <w:szCs w:val="28"/>
        </w:rPr>
        <w:t>immaterial averment</w:t>
      </w:r>
      <w:r w:rsidR="00806E59" w:rsidRPr="006319C6">
        <w:rPr>
          <w:rFonts w:ascii="Bookman Old Style" w:hAnsi="Bookman Old Style"/>
          <w:sz w:val="28"/>
          <w:szCs w:val="28"/>
        </w:rPr>
        <w:t>”</w:t>
      </w:r>
      <w:r w:rsidR="003402BD" w:rsidRPr="006319C6">
        <w:rPr>
          <w:rFonts w:ascii="Bookman Old Style" w:hAnsi="Bookman Old Style"/>
          <w:sz w:val="28"/>
          <w:szCs w:val="28"/>
        </w:rPr>
        <w:t xml:space="preserve"> – something not needed to be proved in order to convict </w:t>
      </w:r>
      <w:r w:rsidR="003402BD" w:rsidRPr="006319C6">
        <w:rPr>
          <w:rFonts w:ascii="Bookman Old Style" w:hAnsi="Bookman Old Style"/>
          <w:sz w:val="28"/>
          <w:szCs w:val="28"/>
          <w:lang w:val="hr-HR"/>
        </w:rPr>
        <w:t>Karadžić</w:t>
      </w:r>
      <w:r w:rsidR="003402BD" w:rsidRPr="006319C6">
        <w:rPr>
          <w:rFonts w:ascii="Bookman Old Style" w:hAnsi="Bookman Old Style"/>
          <w:sz w:val="28"/>
          <w:szCs w:val="28"/>
        </w:rPr>
        <w:t>.</w:t>
      </w:r>
    </w:p>
    <w:p w14:paraId="7709649D" w14:textId="77777777" w:rsidR="006B3D59" w:rsidRPr="006319C6" w:rsidRDefault="006B3D59" w:rsidP="006B3D59">
      <w:pPr>
        <w:pStyle w:val="Paragraph"/>
        <w:spacing w:before="0" w:after="0" w:line="240" w:lineRule="auto"/>
        <w:rPr>
          <w:rFonts w:ascii="Bookman Old Style" w:hAnsi="Bookman Old Style"/>
          <w:sz w:val="28"/>
          <w:szCs w:val="28"/>
        </w:rPr>
      </w:pPr>
    </w:p>
    <w:p w14:paraId="74A236C4" w14:textId="6CA7A8F3" w:rsidR="006B3D59" w:rsidRPr="006319C6" w:rsidRDefault="003402BD" w:rsidP="006B3D59">
      <w:pPr>
        <w:pStyle w:val="Paragraph"/>
        <w:spacing w:before="0" w:after="0" w:line="240" w:lineRule="auto"/>
        <w:rPr>
          <w:rFonts w:ascii="Bookman Old Style" w:hAnsi="Bookman Old Style"/>
          <w:sz w:val="28"/>
          <w:szCs w:val="28"/>
        </w:rPr>
      </w:pPr>
      <w:r w:rsidRPr="006319C6">
        <w:rPr>
          <w:rFonts w:ascii="Bookman Old Style" w:hAnsi="Bookman Old Style"/>
          <w:b/>
          <w:sz w:val="28"/>
          <w:szCs w:val="28"/>
        </w:rPr>
        <w:t>Trial Archive as a Tool to Counter Deniers?</w:t>
      </w:r>
    </w:p>
    <w:p w14:paraId="7BBD64D8" w14:textId="77777777" w:rsidR="006B3D59" w:rsidRPr="006319C6" w:rsidRDefault="006B3D59" w:rsidP="00A9165D">
      <w:pPr>
        <w:pStyle w:val="Paragraph"/>
        <w:spacing w:before="0" w:after="0" w:line="240" w:lineRule="auto"/>
        <w:ind w:firstLine="706"/>
        <w:rPr>
          <w:rFonts w:ascii="Bookman Old Style" w:hAnsi="Bookman Old Style"/>
          <w:b/>
          <w:sz w:val="28"/>
          <w:szCs w:val="28"/>
        </w:rPr>
      </w:pPr>
    </w:p>
    <w:p w14:paraId="6900CCB3" w14:textId="303F74CF" w:rsidR="007C5AC2" w:rsidRPr="006319C6" w:rsidRDefault="003402BD" w:rsidP="00A9165D">
      <w:pPr>
        <w:pStyle w:val="Paragraph"/>
        <w:spacing w:before="0" w:after="0" w:line="240" w:lineRule="auto"/>
        <w:ind w:firstLine="706"/>
        <w:rPr>
          <w:rFonts w:ascii="Bookman Old Style" w:hAnsi="Bookman Old Style"/>
          <w:b/>
          <w:sz w:val="28"/>
          <w:szCs w:val="28"/>
        </w:rPr>
      </w:pPr>
      <w:r w:rsidRPr="006319C6">
        <w:rPr>
          <w:rFonts w:ascii="Bookman Old Style" w:hAnsi="Bookman Old Style"/>
          <w:sz w:val="28"/>
          <w:szCs w:val="28"/>
        </w:rPr>
        <w:t>When the former ICTY judge, Patricia Wald</w:t>
      </w:r>
      <w:r w:rsidR="00045CFF" w:rsidRPr="006319C6">
        <w:rPr>
          <w:rFonts w:ascii="Bookman Old Style" w:hAnsi="Bookman Old Style"/>
          <w:sz w:val="28"/>
          <w:szCs w:val="28"/>
        </w:rPr>
        <w:t>,</w:t>
      </w:r>
      <w:r w:rsidRPr="006319C6">
        <w:rPr>
          <w:rFonts w:ascii="Bookman Old Style" w:hAnsi="Bookman Old Style"/>
          <w:sz w:val="28"/>
          <w:szCs w:val="28"/>
        </w:rPr>
        <w:t xml:space="preserve"> wrote in 2008 about the aspiration of international courts “to record for history an account of war crimes as a hedge against future disclaimers that they never happened at all”</w:t>
      </w:r>
      <w:r w:rsidR="008F55E6" w:rsidRPr="006319C6">
        <w:rPr>
          <w:rFonts w:ascii="Bookman Old Style" w:hAnsi="Bookman Old Style"/>
          <w:sz w:val="28"/>
          <w:szCs w:val="28"/>
        </w:rPr>
        <w:t>,</w:t>
      </w:r>
      <w:r w:rsidRPr="006319C6">
        <w:rPr>
          <w:rStyle w:val="FootnoteReference"/>
          <w:rFonts w:ascii="Bookman Old Style" w:hAnsi="Bookman Old Style"/>
          <w:sz w:val="28"/>
          <w:szCs w:val="28"/>
        </w:rPr>
        <w:footnoteReference w:id="38"/>
      </w:r>
      <w:r w:rsidRPr="006319C6">
        <w:rPr>
          <w:rFonts w:ascii="Bookman Old Style" w:hAnsi="Bookman Old Style"/>
          <w:sz w:val="28"/>
          <w:szCs w:val="28"/>
        </w:rPr>
        <w:t xml:space="preserve"> she did not mention the problem of management of the vast volume of the material every trial produces for an outside user. Trial archives of modern mass atrocities trials are vast to the point of being effectively impossible to search and thus more or less incomprehensible to outside users who might want to turn to them for infomation. The Karad</w:t>
      </w:r>
      <w:r w:rsidRPr="006319C6">
        <w:rPr>
          <w:rFonts w:ascii="Bookman Old Style" w:hAnsi="Bookman Old Style"/>
          <w:sz w:val="28"/>
          <w:szCs w:val="28"/>
          <w:lang w:val="hr-HR"/>
        </w:rPr>
        <w:t>ž</w:t>
      </w:r>
      <w:r w:rsidRPr="006319C6">
        <w:rPr>
          <w:rFonts w:ascii="Bookman Old Style" w:hAnsi="Bookman Old Style"/>
          <w:sz w:val="28"/>
          <w:szCs w:val="28"/>
        </w:rPr>
        <w:t xml:space="preserve">ić judgment is 2,590 pages </w:t>
      </w:r>
      <w:r w:rsidRPr="006319C6">
        <w:rPr>
          <w:rFonts w:ascii="Bookman Old Style" w:hAnsi="Bookman Old Style"/>
          <w:sz w:val="28"/>
          <w:szCs w:val="28"/>
        </w:rPr>
        <w:lastRenderedPageBreak/>
        <w:t>long</w:t>
      </w:r>
      <w:r w:rsidR="00045CFF" w:rsidRPr="006319C6">
        <w:rPr>
          <w:rFonts w:ascii="Bookman Old Style" w:hAnsi="Bookman Old Style"/>
          <w:sz w:val="28"/>
          <w:szCs w:val="28"/>
        </w:rPr>
        <w:t>,</w:t>
      </w:r>
      <w:r w:rsidRPr="006319C6">
        <w:rPr>
          <w:rFonts w:ascii="Bookman Old Style" w:hAnsi="Bookman Old Style"/>
          <w:sz w:val="28"/>
          <w:szCs w:val="28"/>
        </w:rPr>
        <w:t xml:space="preserve"> and the judgments in the trials of two or more accused </w:t>
      </w:r>
      <w:r w:rsidR="00045CFF" w:rsidRPr="006319C6">
        <w:rPr>
          <w:rFonts w:ascii="Bookman Old Style" w:hAnsi="Bookman Old Style"/>
          <w:sz w:val="28"/>
          <w:szCs w:val="28"/>
        </w:rPr>
        <w:t>can be even longer</w:t>
      </w:r>
      <w:r w:rsidRPr="006319C6">
        <w:rPr>
          <w:rFonts w:ascii="Bookman Old Style" w:hAnsi="Bookman Old Style"/>
          <w:sz w:val="28"/>
          <w:szCs w:val="28"/>
        </w:rPr>
        <w:t xml:space="preserve">. </w:t>
      </w:r>
    </w:p>
    <w:p w14:paraId="09D90E95" w14:textId="77777777" w:rsidR="009E1765" w:rsidRPr="006319C6" w:rsidRDefault="007C5AC2" w:rsidP="00A9165D">
      <w:pPr>
        <w:pStyle w:val="Paragraph"/>
        <w:spacing w:before="0" w:after="0" w:line="240" w:lineRule="auto"/>
        <w:ind w:firstLine="706"/>
        <w:rPr>
          <w:rFonts w:ascii="Bookman Old Style" w:hAnsi="Bookman Old Style"/>
          <w:sz w:val="28"/>
          <w:szCs w:val="28"/>
          <w:lang w:val="en-GB"/>
        </w:rPr>
      </w:pPr>
      <w:r w:rsidRPr="006319C6">
        <w:rPr>
          <w:rFonts w:ascii="Bookman Old Style" w:hAnsi="Bookman Old Style"/>
          <w:sz w:val="28"/>
          <w:szCs w:val="28"/>
          <w:lang w:val="en-US"/>
        </w:rPr>
        <w:t>The</w:t>
      </w:r>
      <w:r w:rsidR="008F55E6" w:rsidRPr="006319C6">
        <w:rPr>
          <w:rFonts w:ascii="Bookman Old Style" w:hAnsi="Bookman Old Style"/>
          <w:sz w:val="28"/>
          <w:szCs w:val="28"/>
          <w:lang w:val="en-US"/>
        </w:rPr>
        <w:t xml:space="preserve"> ICTY judges in the </w:t>
      </w:r>
      <w:r w:rsidRPr="006319C6">
        <w:rPr>
          <w:rFonts w:ascii="Bookman Old Style" w:hAnsi="Bookman Old Style"/>
          <w:sz w:val="28"/>
          <w:szCs w:val="28"/>
          <w:lang w:val="en-US"/>
        </w:rPr>
        <w:t xml:space="preserve">ICTY Judgment rendered in the case of the Serb General </w:t>
      </w:r>
      <w:proofErr w:type="spellStart"/>
      <w:r w:rsidRPr="006319C6">
        <w:rPr>
          <w:rFonts w:ascii="Bookman Old Style" w:hAnsi="Bookman Old Style"/>
          <w:sz w:val="28"/>
          <w:szCs w:val="28"/>
          <w:lang w:val="en-US"/>
        </w:rPr>
        <w:t>Ratko</w:t>
      </w:r>
      <w:proofErr w:type="spellEnd"/>
      <w:r w:rsidRPr="006319C6">
        <w:rPr>
          <w:rFonts w:ascii="Bookman Old Style" w:hAnsi="Bookman Old Style"/>
          <w:sz w:val="28"/>
          <w:szCs w:val="28"/>
          <w:lang w:val="en-US"/>
        </w:rPr>
        <w:t xml:space="preserve"> </w:t>
      </w:r>
      <w:proofErr w:type="spellStart"/>
      <w:r w:rsidRPr="006319C6">
        <w:rPr>
          <w:rFonts w:ascii="Bookman Old Style" w:hAnsi="Bookman Old Style"/>
          <w:sz w:val="28"/>
          <w:szCs w:val="28"/>
          <w:lang w:val="en-US"/>
        </w:rPr>
        <w:t>Mladi</w:t>
      </w:r>
      <w:proofErr w:type="spellEnd"/>
      <w:r w:rsidRPr="006319C6">
        <w:rPr>
          <w:rFonts w:ascii="Bookman Old Style" w:hAnsi="Bookman Old Style"/>
          <w:sz w:val="28"/>
          <w:szCs w:val="28"/>
          <w:lang w:val="hr-HR"/>
        </w:rPr>
        <w:t xml:space="preserve">ć went further than the judges in the Karadžić case in finding no links between General Mladić and the members of the </w:t>
      </w:r>
      <w:proofErr w:type="gramStart"/>
      <w:r w:rsidRPr="006319C6">
        <w:rPr>
          <w:rFonts w:ascii="Bookman Old Style" w:hAnsi="Bookman Old Style"/>
          <w:sz w:val="28"/>
          <w:szCs w:val="28"/>
          <w:lang w:val="hr-HR"/>
        </w:rPr>
        <w:t>JCE  from</w:t>
      </w:r>
      <w:proofErr w:type="gramEnd"/>
      <w:r w:rsidRPr="006319C6">
        <w:rPr>
          <w:rFonts w:ascii="Bookman Old Style" w:hAnsi="Bookman Old Style"/>
          <w:sz w:val="28"/>
          <w:szCs w:val="28"/>
          <w:lang w:val="hr-HR"/>
        </w:rPr>
        <w:t xml:space="preserve"> Serbia. In paragraph </w:t>
      </w:r>
      <w:r w:rsidRPr="006319C6">
        <w:rPr>
          <w:rFonts w:ascii="Bookman Old Style" w:hAnsi="Bookman Old Style"/>
          <w:sz w:val="28"/>
          <w:szCs w:val="28"/>
          <w:lang w:val="en-GB"/>
        </w:rPr>
        <w:t xml:space="preserve">4238 of the </w:t>
      </w:r>
      <w:proofErr w:type="spellStart"/>
      <w:r w:rsidRPr="006319C6">
        <w:rPr>
          <w:rFonts w:ascii="Bookman Old Style" w:hAnsi="Bookman Old Style"/>
          <w:sz w:val="28"/>
          <w:szCs w:val="28"/>
          <w:lang w:val="en-GB"/>
        </w:rPr>
        <w:t>Mladić</w:t>
      </w:r>
      <w:proofErr w:type="spellEnd"/>
      <w:r w:rsidRPr="006319C6">
        <w:rPr>
          <w:rFonts w:ascii="Bookman Old Style" w:hAnsi="Bookman Old Style"/>
          <w:sz w:val="28"/>
          <w:szCs w:val="28"/>
          <w:lang w:val="en-GB"/>
        </w:rPr>
        <w:t xml:space="preserve"> ICTY Judgment rendered on 22 November 2017, the Trial Chamber found </w:t>
      </w:r>
      <w:r w:rsidRPr="006319C6">
        <w:rPr>
          <w:rFonts w:ascii="Bookman Old Style" w:hAnsi="Bookman Old Style"/>
          <w:sz w:val="28"/>
          <w:szCs w:val="28"/>
          <w:lang w:val="en-US"/>
        </w:rPr>
        <w:t>“</w:t>
      </w:r>
      <w:r w:rsidRPr="006319C6">
        <w:rPr>
          <w:rFonts w:ascii="Bookman Old Style" w:hAnsi="Bookman Old Style"/>
          <w:sz w:val="28"/>
          <w:szCs w:val="28"/>
          <w:lang w:val="en-GB"/>
        </w:rPr>
        <w:t xml:space="preserve">that there was a plurality of persons including the following individuals: Radovan </w:t>
      </w:r>
      <w:proofErr w:type="spellStart"/>
      <w:r w:rsidRPr="006319C6">
        <w:rPr>
          <w:rFonts w:ascii="Bookman Old Style" w:hAnsi="Bookman Old Style"/>
          <w:sz w:val="28"/>
          <w:szCs w:val="28"/>
          <w:lang w:val="en-GB"/>
        </w:rPr>
        <w:t>Karadžić</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Momčilo</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Krajišnik</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Biljana</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Plavšić</w:t>
      </w:r>
      <w:proofErr w:type="spellEnd"/>
      <w:r w:rsidRPr="006319C6">
        <w:rPr>
          <w:rFonts w:ascii="Bookman Old Style" w:hAnsi="Bookman Old Style"/>
          <w:sz w:val="28"/>
          <w:szCs w:val="28"/>
          <w:lang w:val="en-GB"/>
        </w:rPr>
        <w:t xml:space="preserve">, Nikola </w:t>
      </w:r>
      <w:proofErr w:type="spellStart"/>
      <w:r w:rsidRPr="006319C6">
        <w:rPr>
          <w:rFonts w:ascii="Bookman Old Style" w:hAnsi="Bookman Old Style"/>
          <w:sz w:val="28"/>
          <w:szCs w:val="28"/>
          <w:lang w:val="en-GB"/>
        </w:rPr>
        <w:t>Koljević</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Bogdan</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Subotić</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Momčilo</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Mandić</w:t>
      </w:r>
      <w:proofErr w:type="spellEnd"/>
      <w:r w:rsidRPr="006319C6">
        <w:rPr>
          <w:rFonts w:ascii="Bookman Old Style" w:hAnsi="Bookman Old Style"/>
          <w:sz w:val="28"/>
          <w:szCs w:val="28"/>
          <w:lang w:val="en-GB"/>
        </w:rPr>
        <w:t xml:space="preserve">, and </w:t>
      </w:r>
      <w:proofErr w:type="spellStart"/>
      <w:r w:rsidRPr="006319C6">
        <w:rPr>
          <w:rFonts w:ascii="Bookman Old Style" w:hAnsi="Bookman Old Style"/>
          <w:sz w:val="28"/>
          <w:szCs w:val="28"/>
          <w:lang w:val="en-GB"/>
        </w:rPr>
        <w:t>Mićo</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Stanišić</w:t>
      </w:r>
      <w:proofErr w:type="spellEnd"/>
      <w:r w:rsidRPr="006319C6">
        <w:rPr>
          <w:rFonts w:ascii="Bookman Old Style" w:hAnsi="Bookman Old Style"/>
          <w:sz w:val="28"/>
          <w:szCs w:val="28"/>
          <w:lang w:val="en-GB"/>
        </w:rPr>
        <w:t>.”</w:t>
      </w:r>
      <w:r w:rsidRPr="006319C6">
        <w:rPr>
          <w:rFonts w:ascii="Bookman Old Style" w:hAnsi="Bookman Old Style"/>
          <w:sz w:val="28"/>
          <w:szCs w:val="28"/>
          <w:vertAlign w:val="superscript"/>
          <w:lang w:val="en-GB"/>
        </w:rPr>
        <w:footnoteReference w:id="39"/>
      </w:r>
      <w:r w:rsidRPr="006319C6">
        <w:rPr>
          <w:rFonts w:ascii="Bookman Old Style" w:hAnsi="Bookman Old Style"/>
          <w:sz w:val="28"/>
          <w:szCs w:val="28"/>
          <w:lang w:val="en-GB"/>
        </w:rPr>
        <w:t xml:space="preserve"> All named individuals were offici</w:t>
      </w:r>
      <w:r w:rsidR="00DC23FF" w:rsidRPr="006319C6">
        <w:rPr>
          <w:rFonts w:ascii="Bookman Old Style" w:hAnsi="Bookman Old Style"/>
          <w:sz w:val="28"/>
          <w:szCs w:val="28"/>
          <w:lang w:val="en-GB"/>
        </w:rPr>
        <w:t xml:space="preserve">als from </w:t>
      </w:r>
      <w:proofErr w:type="spellStart"/>
      <w:r w:rsidR="00DC23FF" w:rsidRPr="006319C6">
        <w:rPr>
          <w:rFonts w:ascii="Bookman Old Style" w:hAnsi="Bookman Old Style"/>
          <w:sz w:val="28"/>
          <w:szCs w:val="28"/>
          <w:lang w:val="en-GB"/>
        </w:rPr>
        <w:t>Republika</w:t>
      </w:r>
      <w:proofErr w:type="spellEnd"/>
      <w:r w:rsidR="00DC23FF" w:rsidRPr="006319C6">
        <w:rPr>
          <w:rFonts w:ascii="Bookman Old Style" w:hAnsi="Bookman Old Style"/>
          <w:sz w:val="28"/>
          <w:szCs w:val="28"/>
          <w:lang w:val="en-GB"/>
        </w:rPr>
        <w:t xml:space="preserve"> </w:t>
      </w:r>
      <w:proofErr w:type="spellStart"/>
      <w:r w:rsidR="00DC23FF" w:rsidRPr="006319C6">
        <w:rPr>
          <w:rFonts w:ascii="Bookman Old Style" w:hAnsi="Bookman Old Style"/>
          <w:sz w:val="28"/>
          <w:szCs w:val="28"/>
          <w:lang w:val="en-GB"/>
        </w:rPr>
        <w:t>Srpska</w:t>
      </w:r>
      <w:proofErr w:type="spellEnd"/>
      <w:r w:rsidR="00DC23FF" w:rsidRPr="006319C6">
        <w:rPr>
          <w:rFonts w:ascii="Bookman Old Style" w:hAnsi="Bookman Old Style"/>
          <w:sz w:val="28"/>
          <w:szCs w:val="28"/>
          <w:lang w:val="en-GB"/>
        </w:rPr>
        <w:t>. Whereas</w:t>
      </w:r>
      <w:r w:rsidRPr="006319C6">
        <w:rPr>
          <w:rFonts w:ascii="Bookman Old Style" w:hAnsi="Bookman Old Style"/>
          <w:sz w:val="28"/>
          <w:szCs w:val="28"/>
          <w:lang w:val="en-GB"/>
        </w:rPr>
        <w:t xml:space="preserve"> the judges in the </w:t>
      </w:r>
      <w:proofErr w:type="spellStart"/>
      <w:r w:rsidRPr="006319C6">
        <w:rPr>
          <w:rFonts w:ascii="Bookman Old Style" w:hAnsi="Bookman Old Style"/>
          <w:sz w:val="28"/>
          <w:szCs w:val="28"/>
          <w:lang w:val="en-GB"/>
        </w:rPr>
        <w:t>Karadžić</w:t>
      </w:r>
      <w:proofErr w:type="spellEnd"/>
      <w:r w:rsidRPr="006319C6">
        <w:rPr>
          <w:rFonts w:ascii="Bookman Old Style" w:hAnsi="Bookman Old Style"/>
          <w:sz w:val="28"/>
          <w:szCs w:val="28"/>
          <w:lang w:val="en-GB"/>
        </w:rPr>
        <w:t xml:space="preserve"> case found that the evidence confirmed that </w:t>
      </w:r>
      <w:proofErr w:type="spellStart"/>
      <w:r w:rsidRPr="006319C6">
        <w:rPr>
          <w:rFonts w:ascii="Bookman Old Style" w:hAnsi="Bookman Old Style"/>
          <w:sz w:val="28"/>
          <w:szCs w:val="28"/>
          <w:lang w:val="en-GB"/>
        </w:rPr>
        <w:t>Jovica</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Stanišić</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Franko</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Simatović</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Željko</w:t>
      </w:r>
      <w:proofErr w:type="spellEnd"/>
      <w:r w:rsidRPr="006319C6">
        <w:rPr>
          <w:rFonts w:ascii="Bookman Old Style" w:hAnsi="Bookman Old Style"/>
          <w:sz w:val="28"/>
          <w:szCs w:val="28"/>
          <w:lang w:val="en-GB"/>
        </w:rPr>
        <w:t xml:space="preserve"> </w:t>
      </w:r>
      <w:proofErr w:type="spellStart"/>
      <w:r w:rsidRPr="006319C6">
        <w:rPr>
          <w:rFonts w:ascii="Bookman Old Style" w:hAnsi="Bookman Old Style"/>
          <w:sz w:val="28"/>
          <w:szCs w:val="28"/>
          <w:lang w:val="en-GB"/>
        </w:rPr>
        <w:t>Ražnatović</w:t>
      </w:r>
      <w:proofErr w:type="spellEnd"/>
      <w:r w:rsidRPr="006319C6">
        <w:rPr>
          <w:rFonts w:ascii="Bookman Old Style" w:hAnsi="Bookman Old Style"/>
          <w:sz w:val="28"/>
          <w:szCs w:val="28"/>
          <w:lang w:val="en-GB"/>
        </w:rPr>
        <w:t xml:space="preserve"> and Vojislav </w:t>
      </w:r>
      <w:proofErr w:type="spellStart"/>
      <w:r w:rsidRPr="006319C6">
        <w:rPr>
          <w:rFonts w:ascii="Bookman Old Style" w:hAnsi="Bookman Old Style"/>
          <w:sz w:val="28"/>
          <w:szCs w:val="28"/>
          <w:lang w:val="en-GB"/>
        </w:rPr>
        <w:t>Šešelj</w:t>
      </w:r>
      <w:proofErr w:type="spellEnd"/>
      <w:r w:rsidRPr="006319C6">
        <w:rPr>
          <w:rFonts w:ascii="Bookman Old Style" w:hAnsi="Bookman Old Style"/>
          <w:sz w:val="28"/>
          <w:szCs w:val="28"/>
          <w:lang w:val="en-GB"/>
        </w:rPr>
        <w:t xml:space="preserve"> - the politicians and state officials from Serbia </w:t>
      </w:r>
      <w:r w:rsidRPr="006319C6">
        <w:rPr>
          <w:rFonts w:ascii="Bookman Old Style" w:hAnsi="Bookman Old Style"/>
          <w:sz w:val="28"/>
          <w:szCs w:val="28"/>
          <w:lang w:val="en-US"/>
        </w:rPr>
        <w:t xml:space="preserve">- </w:t>
      </w:r>
      <w:r w:rsidR="00DC23FF" w:rsidRPr="006319C6">
        <w:rPr>
          <w:rFonts w:ascii="Bookman Old Style" w:hAnsi="Bookman Old Style"/>
          <w:sz w:val="28"/>
          <w:szCs w:val="28"/>
          <w:lang w:val="en-GB"/>
        </w:rPr>
        <w:t xml:space="preserve">did share the common plan in Bosnia and </w:t>
      </w:r>
      <w:proofErr w:type="spellStart"/>
      <w:r w:rsidR="00DC23FF" w:rsidRPr="006319C6">
        <w:rPr>
          <w:rFonts w:ascii="Bookman Old Style" w:hAnsi="Bookman Old Style"/>
          <w:sz w:val="28"/>
          <w:szCs w:val="28"/>
          <w:lang w:val="en-GB"/>
        </w:rPr>
        <w:t>Herzogovina</w:t>
      </w:r>
      <w:proofErr w:type="spellEnd"/>
      <w:r w:rsidRPr="006319C6">
        <w:rPr>
          <w:rFonts w:ascii="Bookman Old Style" w:hAnsi="Bookman Old Style"/>
          <w:sz w:val="28"/>
          <w:szCs w:val="28"/>
          <w:lang w:val="en-GB"/>
        </w:rPr>
        <w:t xml:space="preserve">, the judges in the </w:t>
      </w:r>
      <w:proofErr w:type="spellStart"/>
      <w:r w:rsidRPr="006319C6">
        <w:rPr>
          <w:rFonts w:ascii="Bookman Old Style" w:hAnsi="Bookman Old Style"/>
          <w:sz w:val="28"/>
          <w:szCs w:val="28"/>
          <w:lang w:val="en-GB"/>
        </w:rPr>
        <w:t>Mladić</w:t>
      </w:r>
      <w:proofErr w:type="spellEnd"/>
      <w:r w:rsidRPr="006319C6">
        <w:rPr>
          <w:rFonts w:ascii="Bookman Old Style" w:hAnsi="Bookman Old Style"/>
          <w:sz w:val="28"/>
          <w:szCs w:val="28"/>
          <w:lang w:val="en-GB"/>
        </w:rPr>
        <w:t xml:space="preserve"> case did not find enough evidence that these individuals participated in the realization of the c</w:t>
      </w:r>
      <w:r w:rsidR="00DC23FF" w:rsidRPr="006319C6">
        <w:rPr>
          <w:rFonts w:ascii="Bookman Old Style" w:hAnsi="Bookman Old Style"/>
          <w:sz w:val="28"/>
          <w:szCs w:val="28"/>
          <w:lang w:val="en-GB"/>
        </w:rPr>
        <w:t xml:space="preserve">ommon criminal objective in Bosnia and </w:t>
      </w:r>
      <w:proofErr w:type="spellStart"/>
      <w:r w:rsidR="00DC23FF" w:rsidRPr="006319C6">
        <w:rPr>
          <w:rFonts w:ascii="Bookman Old Style" w:hAnsi="Bookman Old Style"/>
          <w:sz w:val="28"/>
          <w:szCs w:val="28"/>
          <w:lang w:val="en-GB"/>
        </w:rPr>
        <w:t>Herzogovina</w:t>
      </w:r>
      <w:proofErr w:type="spellEnd"/>
      <w:r w:rsidR="00DC23FF" w:rsidRPr="006319C6">
        <w:rPr>
          <w:rFonts w:ascii="Bookman Old Style" w:hAnsi="Bookman Old Style"/>
          <w:sz w:val="28"/>
          <w:szCs w:val="28"/>
          <w:lang w:val="en-GB"/>
        </w:rPr>
        <w:t>.</w:t>
      </w:r>
      <w:r w:rsidRPr="006319C6">
        <w:rPr>
          <w:rFonts w:ascii="Bookman Old Style" w:hAnsi="Bookman Old Style"/>
          <w:sz w:val="28"/>
          <w:szCs w:val="28"/>
          <w:lang w:val="en-GB"/>
        </w:rPr>
        <w:t xml:space="preserve"> The judges in both trials ag</w:t>
      </w:r>
      <w:r w:rsidR="00705523" w:rsidRPr="006319C6">
        <w:rPr>
          <w:rFonts w:ascii="Bookman Old Style" w:hAnsi="Bookman Old Style"/>
          <w:sz w:val="28"/>
          <w:szCs w:val="28"/>
          <w:lang w:val="en-GB"/>
        </w:rPr>
        <w:t xml:space="preserve">reed </w:t>
      </w:r>
    </w:p>
    <w:p w14:paraId="1C890E37" w14:textId="6711313C" w:rsidR="007C5AC2" w:rsidRPr="006319C6" w:rsidRDefault="00705523" w:rsidP="009E1765">
      <w:pPr>
        <w:pStyle w:val="Paragraph"/>
        <w:spacing w:before="0" w:after="0" w:line="240" w:lineRule="auto"/>
        <w:rPr>
          <w:rFonts w:ascii="Bookman Old Style" w:hAnsi="Bookman Old Style"/>
          <w:sz w:val="28"/>
          <w:szCs w:val="28"/>
        </w:rPr>
      </w:pPr>
      <w:proofErr w:type="gramStart"/>
      <w:r w:rsidRPr="006319C6">
        <w:rPr>
          <w:rFonts w:ascii="Bookman Old Style" w:hAnsi="Bookman Old Style"/>
          <w:sz w:val="28"/>
          <w:szCs w:val="28"/>
          <w:lang w:val="en-GB"/>
        </w:rPr>
        <w:t>that</w:t>
      </w:r>
      <w:proofErr w:type="gramEnd"/>
      <w:r w:rsidRPr="006319C6">
        <w:rPr>
          <w:rFonts w:ascii="Bookman Old Style" w:hAnsi="Bookman Old Style"/>
          <w:sz w:val="28"/>
          <w:szCs w:val="28"/>
          <w:lang w:val="en-GB"/>
        </w:rPr>
        <w:t xml:space="preserve"> the evidence </w:t>
      </w:r>
      <w:r w:rsidR="007C5AC2" w:rsidRPr="006319C6">
        <w:rPr>
          <w:rFonts w:ascii="Bookman Old Style" w:hAnsi="Bookman Old Style"/>
          <w:sz w:val="28"/>
          <w:szCs w:val="28"/>
          <w:lang w:val="en-GB"/>
        </w:rPr>
        <w:t xml:space="preserve">did not show that Slobodan </w:t>
      </w:r>
      <w:proofErr w:type="spellStart"/>
      <w:r w:rsidR="007C5AC2" w:rsidRPr="006319C6">
        <w:rPr>
          <w:rFonts w:ascii="Bookman Old Style" w:hAnsi="Bookman Old Style"/>
          <w:sz w:val="28"/>
          <w:szCs w:val="28"/>
          <w:lang w:val="en-GB"/>
        </w:rPr>
        <w:t>Milošević</w:t>
      </w:r>
      <w:proofErr w:type="spellEnd"/>
      <w:r w:rsidRPr="006319C6">
        <w:rPr>
          <w:rFonts w:ascii="Bookman Old Style" w:hAnsi="Bookman Old Style"/>
          <w:sz w:val="28"/>
          <w:szCs w:val="28"/>
          <w:lang w:val="en-GB"/>
        </w:rPr>
        <w:t xml:space="preserve"> participated in the realiz</w:t>
      </w:r>
      <w:r w:rsidR="007C5AC2" w:rsidRPr="006319C6">
        <w:rPr>
          <w:rFonts w:ascii="Bookman Old Style" w:hAnsi="Bookman Old Style"/>
          <w:sz w:val="28"/>
          <w:szCs w:val="28"/>
          <w:lang w:val="en-GB"/>
        </w:rPr>
        <w:t>ation of a commonly shared criminal objective.</w:t>
      </w:r>
      <w:r w:rsidR="007C5AC2" w:rsidRPr="006319C6">
        <w:rPr>
          <w:rFonts w:ascii="Bookman Old Style" w:hAnsi="Bookman Old Style"/>
          <w:sz w:val="28"/>
          <w:szCs w:val="28"/>
          <w:vertAlign w:val="superscript"/>
          <w:lang w:val="en-GB"/>
        </w:rPr>
        <w:footnoteReference w:id="40"/>
      </w:r>
    </w:p>
    <w:p w14:paraId="43E1E05D" w14:textId="5EB9E4BD" w:rsidR="003402BD" w:rsidRPr="006319C6" w:rsidRDefault="003402BD" w:rsidP="00A9165D">
      <w:pPr>
        <w:pStyle w:val="Paragraph"/>
        <w:spacing w:before="0" w:after="0" w:line="240" w:lineRule="auto"/>
        <w:ind w:firstLine="706"/>
        <w:rPr>
          <w:rFonts w:ascii="Bookman Old Style" w:hAnsi="Bookman Old Style"/>
          <w:b/>
          <w:sz w:val="28"/>
          <w:szCs w:val="28"/>
        </w:rPr>
      </w:pPr>
      <w:r w:rsidRPr="006319C6">
        <w:rPr>
          <w:rFonts w:ascii="Bookman Old Style" w:hAnsi="Bookman Old Style"/>
          <w:sz w:val="28"/>
          <w:szCs w:val="28"/>
        </w:rPr>
        <w:t>Deniers of the crimes charged are likely to  be able to find in the massive trial archives as well as in court judgments of such length, enough factual details or commentary or even a paragraph from a judgment taken out of context material on which to construct, advance or support an apologetic historical narrative, regardless of the verdict.</w:t>
      </w:r>
    </w:p>
    <w:p w14:paraId="4B69280D" w14:textId="221C3EDE" w:rsidR="003402BD" w:rsidRPr="006319C6" w:rsidRDefault="00EE2DC2" w:rsidP="00A9165D">
      <w:pPr>
        <w:pStyle w:val="Paragraph"/>
        <w:spacing w:before="0" w:after="0" w:line="240" w:lineRule="auto"/>
        <w:ind w:firstLine="709"/>
        <w:rPr>
          <w:rFonts w:ascii="Bookman Old Style" w:hAnsi="Bookman Old Style"/>
          <w:iCs/>
          <w:color w:val="000000"/>
          <w:sz w:val="28"/>
          <w:szCs w:val="28"/>
        </w:rPr>
      </w:pPr>
      <w:r w:rsidRPr="006319C6">
        <w:rPr>
          <w:rFonts w:ascii="Bookman Old Style" w:hAnsi="Bookman Old Style"/>
          <w:sz w:val="28"/>
          <w:szCs w:val="28"/>
        </w:rPr>
        <w:t xml:space="preserve">For example, how could </w:t>
      </w:r>
      <w:r w:rsidR="003402BD" w:rsidRPr="006319C6">
        <w:rPr>
          <w:rFonts w:ascii="Bookman Old Style" w:hAnsi="Bookman Old Style"/>
          <w:sz w:val="28"/>
          <w:szCs w:val="28"/>
        </w:rPr>
        <w:t xml:space="preserve">outside research find any relevant evidence in the </w:t>
      </w:r>
      <w:r w:rsidR="003402BD" w:rsidRPr="006319C6">
        <w:rPr>
          <w:rStyle w:val="Emphasis"/>
          <w:rFonts w:ascii="Bookman Old Style" w:hAnsi="Bookman Old Style"/>
          <w:i w:val="0"/>
          <w:color w:val="000000"/>
          <w:sz w:val="28"/>
          <w:szCs w:val="28"/>
        </w:rPr>
        <w:t xml:space="preserve">Milošević trial about a </w:t>
      </w:r>
      <w:r w:rsidR="00806E59" w:rsidRPr="006319C6">
        <w:rPr>
          <w:rStyle w:val="Emphasis"/>
          <w:rFonts w:ascii="Bookman Old Style" w:hAnsi="Bookman Old Style"/>
          <w:i w:val="0"/>
          <w:color w:val="000000"/>
          <w:sz w:val="28"/>
          <w:szCs w:val="28"/>
        </w:rPr>
        <w:t>“</w:t>
      </w:r>
      <w:r w:rsidR="003402BD" w:rsidRPr="006319C6">
        <w:rPr>
          <w:rStyle w:val="Emphasis"/>
          <w:rFonts w:ascii="Bookman Old Style" w:hAnsi="Bookman Old Style"/>
          <w:i w:val="0"/>
          <w:color w:val="000000"/>
          <w:sz w:val="28"/>
          <w:szCs w:val="28"/>
        </w:rPr>
        <w:t>common plan</w:t>
      </w:r>
      <w:r w:rsidR="00806E59" w:rsidRPr="006319C6">
        <w:rPr>
          <w:rStyle w:val="Emphasis"/>
          <w:rFonts w:ascii="Bookman Old Style" w:hAnsi="Bookman Old Style"/>
          <w:i w:val="0"/>
          <w:color w:val="000000"/>
          <w:sz w:val="28"/>
          <w:szCs w:val="28"/>
        </w:rPr>
        <w:t>”</w:t>
      </w:r>
      <w:r w:rsidR="003402BD" w:rsidRPr="006319C6">
        <w:rPr>
          <w:rStyle w:val="Emphasis"/>
          <w:rFonts w:ascii="Bookman Old Style" w:hAnsi="Bookman Old Style"/>
          <w:i w:val="0"/>
          <w:color w:val="000000"/>
          <w:sz w:val="28"/>
          <w:szCs w:val="28"/>
        </w:rPr>
        <w:t>?</w:t>
      </w:r>
      <w:r w:rsidR="003402BD" w:rsidRPr="006319C6">
        <w:rPr>
          <w:rStyle w:val="FootnoteReference"/>
          <w:rFonts w:ascii="Bookman Old Style" w:hAnsi="Bookman Old Style"/>
          <w:iCs/>
          <w:color w:val="000000"/>
          <w:sz w:val="28"/>
          <w:szCs w:val="28"/>
        </w:rPr>
        <w:footnoteReference w:id="41"/>
      </w:r>
      <w:r w:rsidRPr="006319C6">
        <w:rPr>
          <w:rStyle w:val="Emphasis"/>
          <w:rFonts w:ascii="Bookman Old Style" w:hAnsi="Bookman Old Style"/>
          <w:i w:val="0"/>
          <w:color w:val="000000"/>
          <w:sz w:val="28"/>
          <w:szCs w:val="28"/>
        </w:rPr>
        <w:t xml:space="preserve"> Some</w:t>
      </w:r>
      <w:r w:rsidR="003402BD" w:rsidRPr="006319C6">
        <w:rPr>
          <w:rStyle w:val="Emphasis"/>
          <w:rFonts w:ascii="Bookman Old Style" w:hAnsi="Bookman Old Style"/>
          <w:i w:val="0"/>
          <w:color w:val="000000"/>
          <w:sz w:val="28"/>
          <w:szCs w:val="28"/>
        </w:rPr>
        <w:t xml:space="preserve"> valuable evidence came from </w:t>
      </w:r>
      <w:r w:rsidR="00806E59" w:rsidRPr="006319C6">
        <w:rPr>
          <w:rStyle w:val="Emphasis"/>
          <w:rFonts w:ascii="Bookman Old Style" w:hAnsi="Bookman Old Style"/>
          <w:i w:val="0"/>
          <w:color w:val="000000"/>
          <w:sz w:val="28"/>
          <w:szCs w:val="28"/>
        </w:rPr>
        <w:t>“</w:t>
      </w:r>
      <w:r w:rsidR="003402BD" w:rsidRPr="006319C6">
        <w:rPr>
          <w:rStyle w:val="Emphasis"/>
          <w:rFonts w:ascii="Bookman Old Style" w:hAnsi="Bookman Old Style"/>
          <w:i w:val="0"/>
          <w:color w:val="000000"/>
          <w:sz w:val="28"/>
          <w:szCs w:val="28"/>
        </w:rPr>
        <w:t>insider</w:t>
      </w:r>
      <w:r w:rsidR="00806E59" w:rsidRPr="006319C6">
        <w:rPr>
          <w:rStyle w:val="Emphasis"/>
          <w:rFonts w:ascii="Bookman Old Style" w:hAnsi="Bookman Old Style"/>
          <w:i w:val="0"/>
          <w:color w:val="000000"/>
          <w:sz w:val="28"/>
          <w:szCs w:val="28"/>
        </w:rPr>
        <w:t>”</w:t>
      </w:r>
      <w:r w:rsidR="003402BD" w:rsidRPr="006319C6">
        <w:rPr>
          <w:rStyle w:val="Emphasis"/>
          <w:rFonts w:ascii="Bookman Old Style" w:hAnsi="Bookman Old Style"/>
          <w:i w:val="0"/>
          <w:color w:val="000000"/>
          <w:sz w:val="28"/>
          <w:szCs w:val="28"/>
        </w:rPr>
        <w:t xml:space="preserve"> witnesses and from the contemporan</w:t>
      </w:r>
      <w:r w:rsidR="00ED279D" w:rsidRPr="006319C6">
        <w:rPr>
          <w:rStyle w:val="Emphasis"/>
          <w:rFonts w:ascii="Bookman Old Style" w:hAnsi="Bookman Old Style"/>
          <w:i w:val="0"/>
          <w:color w:val="000000"/>
          <w:sz w:val="28"/>
          <w:szCs w:val="28"/>
        </w:rPr>
        <w:t>e</w:t>
      </w:r>
      <w:r w:rsidR="003402BD" w:rsidRPr="006319C6">
        <w:rPr>
          <w:rStyle w:val="Emphasis"/>
          <w:rFonts w:ascii="Bookman Old Style" w:hAnsi="Bookman Old Style"/>
          <w:i w:val="0"/>
          <w:color w:val="000000"/>
          <w:sz w:val="28"/>
          <w:szCs w:val="28"/>
        </w:rPr>
        <w:t>ous records of high level meetin</w:t>
      </w:r>
      <w:r w:rsidRPr="006319C6">
        <w:rPr>
          <w:rStyle w:val="Emphasis"/>
          <w:rFonts w:ascii="Bookman Old Style" w:hAnsi="Bookman Old Style"/>
          <w:i w:val="0"/>
          <w:color w:val="000000"/>
          <w:sz w:val="28"/>
          <w:szCs w:val="28"/>
        </w:rPr>
        <w:t>gs that were acquired from the S</w:t>
      </w:r>
      <w:r w:rsidR="003402BD" w:rsidRPr="006319C6">
        <w:rPr>
          <w:rStyle w:val="Emphasis"/>
          <w:rFonts w:ascii="Bookman Old Style" w:hAnsi="Bookman Old Style"/>
          <w:i w:val="0"/>
          <w:color w:val="000000"/>
          <w:sz w:val="28"/>
          <w:szCs w:val="28"/>
        </w:rPr>
        <w:t>tate archi</w:t>
      </w:r>
      <w:r w:rsidRPr="006319C6">
        <w:rPr>
          <w:rStyle w:val="Emphasis"/>
          <w:rFonts w:ascii="Bookman Old Style" w:hAnsi="Bookman Old Style"/>
          <w:i w:val="0"/>
          <w:color w:val="000000"/>
          <w:sz w:val="28"/>
          <w:szCs w:val="28"/>
        </w:rPr>
        <w:t xml:space="preserve">ves of </w:t>
      </w:r>
      <w:r w:rsidRPr="006319C6">
        <w:rPr>
          <w:rStyle w:val="Emphasis"/>
          <w:rFonts w:ascii="Bookman Old Style" w:hAnsi="Bookman Old Style"/>
          <w:i w:val="0"/>
          <w:color w:val="000000"/>
          <w:sz w:val="28"/>
          <w:szCs w:val="28"/>
        </w:rPr>
        <w:lastRenderedPageBreak/>
        <w:t>Serbia for the purpose of</w:t>
      </w:r>
      <w:r w:rsidR="003402BD" w:rsidRPr="006319C6">
        <w:rPr>
          <w:rStyle w:val="Emphasis"/>
          <w:rFonts w:ascii="Bookman Old Style" w:hAnsi="Bookman Old Style"/>
          <w:i w:val="0"/>
          <w:color w:val="000000"/>
          <w:sz w:val="28"/>
          <w:szCs w:val="28"/>
        </w:rPr>
        <w:t xml:space="preserve"> connect</w:t>
      </w:r>
      <w:r w:rsidRPr="006319C6">
        <w:rPr>
          <w:rStyle w:val="Emphasis"/>
          <w:rFonts w:ascii="Bookman Old Style" w:hAnsi="Bookman Old Style"/>
          <w:i w:val="0"/>
          <w:color w:val="000000"/>
          <w:sz w:val="28"/>
          <w:szCs w:val="28"/>
        </w:rPr>
        <w:t>ing</w:t>
      </w:r>
      <w:r w:rsidR="003402BD" w:rsidRPr="006319C6">
        <w:rPr>
          <w:rStyle w:val="Emphasis"/>
          <w:rFonts w:ascii="Bookman Old Style" w:hAnsi="Bookman Old Style"/>
          <w:i w:val="0"/>
          <w:color w:val="000000"/>
          <w:sz w:val="28"/>
          <w:szCs w:val="28"/>
        </w:rPr>
        <w:t xml:space="preserve"> Milošević to the </w:t>
      </w:r>
      <w:r w:rsidR="00806E59" w:rsidRPr="006319C6">
        <w:rPr>
          <w:rStyle w:val="Emphasis"/>
          <w:rFonts w:ascii="Bookman Old Style" w:hAnsi="Bookman Old Style"/>
          <w:i w:val="0"/>
          <w:color w:val="000000"/>
          <w:sz w:val="28"/>
          <w:szCs w:val="28"/>
        </w:rPr>
        <w:t>“</w:t>
      </w:r>
      <w:r w:rsidR="003402BD" w:rsidRPr="006319C6">
        <w:rPr>
          <w:rStyle w:val="Emphasis"/>
          <w:rFonts w:ascii="Bookman Old Style" w:hAnsi="Bookman Old Style"/>
          <w:i w:val="0"/>
          <w:color w:val="000000"/>
          <w:sz w:val="28"/>
          <w:szCs w:val="28"/>
        </w:rPr>
        <w:t>common plan</w:t>
      </w:r>
      <w:r w:rsidR="00806E59" w:rsidRPr="006319C6">
        <w:rPr>
          <w:rStyle w:val="Emphasis"/>
          <w:rFonts w:ascii="Bookman Old Style" w:hAnsi="Bookman Old Style"/>
          <w:i w:val="0"/>
          <w:color w:val="000000"/>
          <w:sz w:val="28"/>
          <w:szCs w:val="28"/>
        </w:rPr>
        <w:t>”</w:t>
      </w:r>
      <w:r w:rsidRPr="006319C6">
        <w:rPr>
          <w:rStyle w:val="Emphasis"/>
          <w:rFonts w:ascii="Bookman Old Style" w:hAnsi="Bookman Old Style"/>
          <w:i w:val="0"/>
          <w:color w:val="000000"/>
          <w:sz w:val="28"/>
          <w:szCs w:val="28"/>
        </w:rPr>
        <w:t xml:space="preserve"> for Bosnia and Herzogovina</w:t>
      </w:r>
      <w:r w:rsidR="003402BD" w:rsidRPr="006319C6">
        <w:rPr>
          <w:rStyle w:val="Emphasis"/>
          <w:rFonts w:ascii="Bookman Old Style" w:hAnsi="Bookman Old Style"/>
          <w:i w:val="0"/>
          <w:color w:val="000000"/>
          <w:sz w:val="28"/>
          <w:szCs w:val="28"/>
        </w:rPr>
        <w:t>. For exampl</w:t>
      </w:r>
      <w:r w:rsidRPr="006319C6">
        <w:rPr>
          <w:rStyle w:val="Emphasis"/>
          <w:rFonts w:ascii="Bookman Old Style" w:hAnsi="Bookman Old Style"/>
          <w:i w:val="0"/>
          <w:color w:val="000000"/>
          <w:sz w:val="28"/>
          <w:szCs w:val="28"/>
        </w:rPr>
        <w:t>e, in the heat of the war in Bosnia and Herzogovina</w:t>
      </w:r>
      <w:r w:rsidR="003402BD" w:rsidRPr="006319C6">
        <w:rPr>
          <w:rStyle w:val="Emphasis"/>
          <w:rFonts w:ascii="Bookman Old Style" w:hAnsi="Bookman Old Style"/>
          <w:i w:val="0"/>
          <w:color w:val="000000"/>
          <w:sz w:val="28"/>
          <w:szCs w:val="28"/>
        </w:rPr>
        <w:t>, where the Serbs were seizing territory by commission of crimes</w:t>
      </w:r>
      <w:r w:rsidRPr="006319C6">
        <w:rPr>
          <w:rStyle w:val="Emphasis"/>
          <w:rFonts w:ascii="Bookman Old Style" w:hAnsi="Bookman Old Style"/>
          <w:i w:val="0"/>
          <w:color w:val="000000"/>
          <w:sz w:val="28"/>
          <w:szCs w:val="28"/>
        </w:rPr>
        <w:t>,</w:t>
      </w:r>
      <w:r w:rsidR="003402BD" w:rsidRPr="006319C6">
        <w:rPr>
          <w:rStyle w:val="FootnoteReference"/>
          <w:rFonts w:ascii="Bookman Old Style" w:hAnsi="Bookman Old Style"/>
          <w:iCs/>
          <w:color w:val="000000"/>
          <w:sz w:val="28"/>
          <w:szCs w:val="28"/>
        </w:rPr>
        <w:footnoteReference w:id="42"/>
      </w:r>
      <w:r w:rsidR="003402BD" w:rsidRPr="006319C6">
        <w:rPr>
          <w:rStyle w:val="Emphasis"/>
          <w:rFonts w:ascii="Bookman Old Style" w:hAnsi="Bookman Old Style"/>
          <w:i w:val="0"/>
          <w:color w:val="000000"/>
          <w:sz w:val="28"/>
          <w:szCs w:val="28"/>
        </w:rPr>
        <w:t xml:space="preserve"> representatives from Serbia, Republika S</w:t>
      </w:r>
      <w:r w:rsidR="008155BD" w:rsidRPr="006319C6">
        <w:rPr>
          <w:rStyle w:val="Emphasis"/>
          <w:rFonts w:ascii="Bookman Old Style" w:hAnsi="Bookman Old Style"/>
          <w:i w:val="0"/>
          <w:color w:val="000000"/>
          <w:sz w:val="28"/>
          <w:szCs w:val="28"/>
        </w:rPr>
        <w:t>rspka (RS), a Serb entity in Bosnia and Herzogovina</w:t>
      </w:r>
      <w:r w:rsidR="003402BD" w:rsidRPr="006319C6">
        <w:rPr>
          <w:rStyle w:val="Emphasis"/>
          <w:rFonts w:ascii="Bookman Old Style" w:hAnsi="Bookman Old Style"/>
          <w:i w:val="0"/>
          <w:color w:val="000000"/>
          <w:sz w:val="28"/>
          <w:szCs w:val="28"/>
        </w:rPr>
        <w:t>, and Republika Srpska Krajina (RSK), a Serb entity in Croatia, held a meeting at which</w:t>
      </w:r>
      <w:r w:rsidR="003402BD" w:rsidRPr="006319C6">
        <w:rPr>
          <w:rStyle w:val="Emphasis"/>
          <w:rFonts w:ascii="Bookman Old Style" w:hAnsi="Bookman Old Style"/>
          <w:color w:val="000000"/>
          <w:sz w:val="28"/>
          <w:szCs w:val="28"/>
        </w:rPr>
        <w:t xml:space="preserve"> </w:t>
      </w:r>
      <w:r w:rsidR="008155BD" w:rsidRPr="006319C6">
        <w:rPr>
          <w:rFonts w:ascii="Bookman Old Style" w:hAnsi="Bookman Old Style"/>
          <w:sz w:val="28"/>
          <w:szCs w:val="28"/>
        </w:rPr>
        <w:t xml:space="preserve">Milošević </w:t>
      </w:r>
      <w:r w:rsidR="003402BD" w:rsidRPr="006319C6">
        <w:rPr>
          <w:rFonts w:ascii="Bookman Old Style" w:hAnsi="Bookman Old Style"/>
          <w:sz w:val="28"/>
          <w:szCs w:val="28"/>
        </w:rPr>
        <w:t>stated as a common goal the unity of Serbs from Serbia, RS</w:t>
      </w:r>
      <w:r w:rsidR="008155BD" w:rsidRPr="006319C6">
        <w:rPr>
          <w:rFonts w:ascii="Bookman Old Style" w:hAnsi="Bookman Old Style"/>
          <w:sz w:val="28"/>
          <w:szCs w:val="28"/>
        </w:rPr>
        <w:t>,</w:t>
      </w:r>
      <w:r w:rsidR="003402BD" w:rsidRPr="006319C6">
        <w:rPr>
          <w:rFonts w:ascii="Bookman Old Style" w:hAnsi="Bookman Old Style"/>
          <w:sz w:val="28"/>
          <w:szCs w:val="28"/>
        </w:rPr>
        <w:t xml:space="preserve"> and RSK:</w:t>
      </w:r>
    </w:p>
    <w:p w14:paraId="1C325384" w14:textId="77777777" w:rsidR="003402BD" w:rsidRPr="006319C6" w:rsidRDefault="003402BD" w:rsidP="00CC1447">
      <w:pPr>
        <w:pStyle w:val="Citati"/>
        <w:spacing w:after="0" w:line="240" w:lineRule="auto"/>
        <w:rPr>
          <w:rFonts w:ascii="Bookman Old Style" w:hAnsi="Bookman Old Style"/>
          <w:sz w:val="28"/>
          <w:szCs w:val="28"/>
          <w:lang w:val="en-GB"/>
        </w:rPr>
      </w:pPr>
      <w:r w:rsidRPr="006319C6">
        <w:rPr>
          <w:rFonts w:ascii="Bookman Old Style" w:hAnsi="Bookman Old Style"/>
          <w:sz w:val="28"/>
          <w:szCs w:val="28"/>
          <w:lang w:val="en-GB"/>
        </w:rPr>
        <w:t xml:space="preserve">We </w:t>
      </w:r>
      <w:r w:rsidRPr="006319C6">
        <w:rPr>
          <w:rFonts w:ascii="Bookman Old Style" w:hAnsi="Bookman Old Style"/>
          <w:i/>
          <w:sz w:val="28"/>
          <w:szCs w:val="28"/>
          <w:lang w:val="en-GB"/>
        </w:rPr>
        <w:t>de facto</w:t>
      </w:r>
      <w:r w:rsidRPr="006319C6">
        <w:rPr>
          <w:rFonts w:ascii="Bookman Old Style" w:hAnsi="Bookman Old Style"/>
          <w:sz w:val="28"/>
          <w:szCs w:val="28"/>
          <w:lang w:val="en-GB"/>
        </w:rPr>
        <w:t xml:space="preserve"> have that because objectively and according to our relations, such as political, military, economy, cultural and educational, we have that unity. The question is how to get the recognition of the unity now, actually how to legalise that unity. How to turn the situation, which </w:t>
      </w:r>
      <w:r w:rsidRPr="006319C6">
        <w:rPr>
          <w:rFonts w:ascii="Bookman Old Style" w:hAnsi="Bookman Old Style"/>
          <w:i/>
          <w:sz w:val="28"/>
          <w:szCs w:val="28"/>
          <w:lang w:val="en-GB"/>
        </w:rPr>
        <w:t>de facto</w:t>
      </w:r>
      <w:r w:rsidRPr="006319C6">
        <w:rPr>
          <w:rFonts w:ascii="Bookman Old Style" w:hAnsi="Bookman Old Style"/>
          <w:sz w:val="28"/>
          <w:szCs w:val="28"/>
          <w:lang w:val="en-GB"/>
        </w:rPr>
        <w:t xml:space="preserve"> exists and could not be </w:t>
      </w:r>
      <w:r w:rsidRPr="006319C6">
        <w:rPr>
          <w:rFonts w:ascii="Bookman Old Style" w:hAnsi="Bookman Old Style"/>
          <w:i/>
          <w:sz w:val="28"/>
          <w:szCs w:val="28"/>
          <w:lang w:val="en-GB"/>
        </w:rPr>
        <w:t>de facto</w:t>
      </w:r>
      <w:r w:rsidRPr="006319C6">
        <w:rPr>
          <w:rFonts w:ascii="Bookman Old Style" w:hAnsi="Bookman Old Style"/>
          <w:sz w:val="28"/>
          <w:szCs w:val="28"/>
          <w:lang w:val="en-GB"/>
        </w:rPr>
        <w:t xml:space="preserve"> endangered, into being </w:t>
      </w:r>
      <w:r w:rsidRPr="006319C6">
        <w:rPr>
          <w:rFonts w:ascii="Bookman Old Style" w:hAnsi="Bookman Old Style"/>
          <w:i/>
          <w:sz w:val="28"/>
          <w:szCs w:val="28"/>
          <w:lang w:val="en-GB"/>
        </w:rPr>
        <w:t>de facto</w:t>
      </w:r>
      <w:r w:rsidRPr="006319C6">
        <w:rPr>
          <w:rFonts w:ascii="Bookman Old Style" w:hAnsi="Bookman Old Style"/>
          <w:sz w:val="28"/>
          <w:szCs w:val="28"/>
          <w:lang w:val="en-GB"/>
        </w:rPr>
        <w:t xml:space="preserve"> and </w:t>
      </w:r>
      <w:r w:rsidRPr="006319C6">
        <w:rPr>
          <w:rFonts w:ascii="Bookman Old Style" w:hAnsi="Bookman Old Style"/>
          <w:i/>
          <w:sz w:val="28"/>
          <w:szCs w:val="28"/>
          <w:lang w:val="en-GB"/>
        </w:rPr>
        <w:t>de jure</w:t>
      </w:r>
      <w:r w:rsidRPr="006319C6">
        <w:rPr>
          <w:rFonts w:ascii="Bookman Old Style" w:hAnsi="Bookman Old Style"/>
          <w:sz w:val="28"/>
          <w:szCs w:val="28"/>
          <w:lang w:val="en-GB"/>
        </w:rPr>
        <w:t>?</w:t>
      </w:r>
      <w:r w:rsidRPr="006319C6">
        <w:rPr>
          <w:rStyle w:val="FootnoteReference"/>
          <w:rFonts w:ascii="Bookman Old Style" w:hAnsi="Bookman Old Style"/>
          <w:iCs/>
          <w:sz w:val="28"/>
          <w:szCs w:val="28"/>
          <w:lang w:val="en-GB"/>
        </w:rPr>
        <w:footnoteReference w:id="43"/>
      </w:r>
    </w:p>
    <w:p w14:paraId="51BAABCB" w14:textId="222B8C3C" w:rsidR="003402BD" w:rsidRPr="006319C6" w:rsidRDefault="003402BD" w:rsidP="00CC1447">
      <w:pPr>
        <w:pStyle w:val="Paragraph"/>
        <w:spacing w:after="0" w:line="240" w:lineRule="auto"/>
        <w:rPr>
          <w:rFonts w:ascii="Bookman Old Style" w:hAnsi="Bookman Old Style"/>
          <w:sz w:val="28"/>
          <w:szCs w:val="28"/>
        </w:rPr>
      </w:pPr>
      <w:r w:rsidRPr="006319C6">
        <w:rPr>
          <w:rFonts w:ascii="Bookman Old Style" w:hAnsi="Bookman Old Style"/>
          <w:sz w:val="28"/>
          <w:szCs w:val="28"/>
        </w:rPr>
        <w:tab/>
        <w:t xml:space="preserve">By 1994, nothing had changed in his thinking. Despite the formal rift with the RS leadership as of August 1994, which has been cited as relevant in the Karadžić judgment, </w:t>
      </w:r>
      <w:r w:rsidRPr="006319C6">
        <w:rPr>
          <w:rStyle w:val="Emphasis"/>
          <w:rFonts w:ascii="Bookman Old Style" w:hAnsi="Bookman Old Style"/>
          <w:color w:val="000000"/>
          <w:sz w:val="28"/>
          <w:szCs w:val="28"/>
        </w:rPr>
        <w:t>Milo</w:t>
      </w:r>
      <w:r w:rsidRPr="006319C6">
        <w:rPr>
          <w:rStyle w:val="Emphasis"/>
          <w:rFonts w:ascii="Bookman Old Style" w:hAnsi="Bookman Old Style"/>
          <w:color w:val="000000"/>
          <w:sz w:val="28"/>
          <w:szCs w:val="28"/>
          <w:lang w:val="hr-HR"/>
        </w:rPr>
        <w:t>š</w:t>
      </w:r>
      <w:r w:rsidRPr="006319C6">
        <w:rPr>
          <w:rStyle w:val="Emphasis"/>
          <w:rFonts w:ascii="Bookman Old Style" w:hAnsi="Bookman Old Style"/>
          <w:color w:val="000000"/>
          <w:sz w:val="28"/>
          <w:szCs w:val="28"/>
        </w:rPr>
        <w:t>ević</w:t>
      </w:r>
      <w:r w:rsidR="008155BD" w:rsidRPr="006319C6">
        <w:rPr>
          <w:rFonts w:ascii="Bookman Old Style" w:hAnsi="Bookman Old Style"/>
          <w:sz w:val="28"/>
          <w:szCs w:val="28"/>
        </w:rPr>
        <w:t>, summariz</w:t>
      </w:r>
      <w:r w:rsidRPr="006319C6">
        <w:rPr>
          <w:rFonts w:ascii="Bookman Old Style" w:hAnsi="Bookman Old Style"/>
          <w:sz w:val="28"/>
          <w:szCs w:val="28"/>
        </w:rPr>
        <w:t>in</w:t>
      </w:r>
      <w:r w:rsidR="008155BD" w:rsidRPr="006319C6">
        <w:rPr>
          <w:rFonts w:ascii="Bookman Old Style" w:hAnsi="Bookman Old Style"/>
          <w:sz w:val="28"/>
          <w:szCs w:val="28"/>
        </w:rPr>
        <w:t>g Serb political designs for Bosnia and Herzogovina</w:t>
      </w:r>
      <w:r w:rsidR="00444AA9" w:rsidRPr="006319C6">
        <w:rPr>
          <w:rFonts w:ascii="Bookman Old Style" w:hAnsi="Bookman Old Style"/>
          <w:sz w:val="28"/>
          <w:szCs w:val="28"/>
        </w:rPr>
        <w:t xml:space="preserve"> at a SDC meeting on 30 August 1994, </w:t>
      </w:r>
      <w:r w:rsidRPr="006319C6">
        <w:rPr>
          <w:rFonts w:ascii="Bookman Old Style" w:hAnsi="Bookman Old Style"/>
          <w:sz w:val="28"/>
          <w:szCs w:val="28"/>
        </w:rPr>
        <w:t>cited a “unanimous policy” am</w:t>
      </w:r>
      <w:r w:rsidR="00444AA9" w:rsidRPr="006319C6">
        <w:rPr>
          <w:rFonts w:ascii="Bookman Old Style" w:hAnsi="Bookman Old Style"/>
          <w:sz w:val="28"/>
          <w:szCs w:val="28"/>
        </w:rPr>
        <w:t>ong Serbs in the FRY, Bosnia and Herzogovina</w:t>
      </w:r>
      <w:r w:rsidRPr="006319C6">
        <w:rPr>
          <w:rFonts w:ascii="Bookman Old Style" w:hAnsi="Bookman Old Style"/>
          <w:sz w:val="28"/>
          <w:szCs w:val="28"/>
        </w:rPr>
        <w:t>, and Croatia, revealing that Serb leaders had indeed shared a common p</w:t>
      </w:r>
      <w:r w:rsidR="00444AA9" w:rsidRPr="006319C6">
        <w:rPr>
          <w:rFonts w:ascii="Bookman Old Style" w:hAnsi="Bookman Old Style"/>
          <w:sz w:val="28"/>
          <w:szCs w:val="28"/>
        </w:rPr>
        <w:t>lan, as alleged by the p</w:t>
      </w:r>
      <w:r w:rsidRPr="006319C6">
        <w:rPr>
          <w:rFonts w:ascii="Bookman Old Style" w:hAnsi="Bookman Old Style"/>
          <w:sz w:val="28"/>
          <w:szCs w:val="28"/>
        </w:rPr>
        <w:t>rosecution in the Milo</w:t>
      </w:r>
      <w:r w:rsidRPr="006319C6">
        <w:rPr>
          <w:rFonts w:ascii="Bookman Old Style" w:hAnsi="Bookman Old Style"/>
          <w:sz w:val="28"/>
          <w:szCs w:val="28"/>
          <w:lang w:val="hr-HR"/>
        </w:rPr>
        <w:t xml:space="preserve">šević </w:t>
      </w:r>
      <w:r w:rsidRPr="006319C6">
        <w:rPr>
          <w:rFonts w:ascii="Bookman Old Style" w:hAnsi="Bookman Old Style"/>
          <w:sz w:val="28"/>
          <w:szCs w:val="28"/>
        </w:rPr>
        <w:t xml:space="preserve">case: </w:t>
      </w:r>
    </w:p>
    <w:p w14:paraId="3A00A9BF" w14:textId="77777777" w:rsidR="00A9165D" w:rsidRPr="006319C6" w:rsidRDefault="00A9165D" w:rsidP="00CC1447">
      <w:pPr>
        <w:pStyle w:val="Paragraph"/>
        <w:spacing w:after="0" w:line="240" w:lineRule="auto"/>
        <w:rPr>
          <w:rFonts w:ascii="Bookman Old Style" w:hAnsi="Bookman Old Style"/>
          <w:iCs/>
          <w:color w:val="000000"/>
          <w:sz w:val="28"/>
          <w:szCs w:val="28"/>
        </w:rPr>
      </w:pPr>
    </w:p>
    <w:p w14:paraId="015D7779" w14:textId="199AB31A" w:rsidR="003402BD" w:rsidRPr="006319C6" w:rsidRDefault="003402BD" w:rsidP="00444AA9">
      <w:pPr>
        <w:pStyle w:val="NTCitati"/>
        <w:rPr>
          <w:rFonts w:ascii="Bookman Old Style" w:hAnsi="Bookman Old Style"/>
          <w:sz w:val="28"/>
          <w:szCs w:val="28"/>
        </w:rPr>
      </w:pPr>
      <w:r w:rsidRPr="006319C6">
        <w:rPr>
          <w:rFonts w:ascii="Bookman Old Style" w:hAnsi="Bookman Old Style"/>
          <w:sz w:val="28"/>
          <w:szCs w:val="28"/>
        </w:rPr>
        <w:t xml:space="preserve">By pursuing a unanimous policy, and quite successfully in my mind, we have managed to save [the FRY] from war, and at the same time rendered as much support as possible to our people across the Drina in creating </w:t>
      </w:r>
      <w:proofErr w:type="spellStart"/>
      <w:r w:rsidRPr="006319C6">
        <w:rPr>
          <w:rFonts w:ascii="Bookman Old Style" w:hAnsi="Bookman Old Style"/>
          <w:sz w:val="28"/>
          <w:szCs w:val="28"/>
        </w:rPr>
        <w:t>Republika</w:t>
      </w:r>
      <w:proofErr w:type="spellEnd"/>
      <w:r w:rsidRPr="006319C6">
        <w:rPr>
          <w:rFonts w:ascii="Bookman Old Style" w:hAnsi="Bookman Old Style"/>
          <w:sz w:val="28"/>
          <w:szCs w:val="28"/>
        </w:rPr>
        <w:t xml:space="preserve"> </w:t>
      </w:r>
      <w:proofErr w:type="spellStart"/>
      <w:r w:rsidRPr="006319C6">
        <w:rPr>
          <w:rFonts w:ascii="Bookman Old Style" w:hAnsi="Bookman Old Style"/>
          <w:sz w:val="28"/>
          <w:szCs w:val="28"/>
        </w:rPr>
        <w:t>Srpska</w:t>
      </w:r>
      <w:proofErr w:type="spellEnd"/>
      <w:r w:rsidRPr="006319C6">
        <w:rPr>
          <w:rFonts w:ascii="Bookman Old Style" w:hAnsi="Bookman Old Style"/>
          <w:sz w:val="28"/>
          <w:szCs w:val="28"/>
        </w:rPr>
        <w:t xml:space="preserve">, in creating the </w:t>
      </w:r>
      <w:proofErr w:type="spellStart"/>
      <w:r w:rsidRPr="006319C6">
        <w:rPr>
          <w:rFonts w:ascii="Bookman Old Style" w:hAnsi="Bookman Old Style"/>
          <w:sz w:val="28"/>
          <w:szCs w:val="28"/>
        </w:rPr>
        <w:t>Republika</w:t>
      </w:r>
      <w:proofErr w:type="spellEnd"/>
      <w:r w:rsidRPr="006319C6">
        <w:rPr>
          <w:rFonts w:ascii="Bookman Old Style" w:hAnsi="Bookman Old Style"/>
          <w:sz w:val="28"/>
          <w:szCs w:val="28"/>
        </w:rPr>
        <w:t xml:space="preserve"> </w:t>
      </w:r>
      <w:proofErr w:type="spellStart"/>
      <w:r w:rsidRPr="006319C6">
        <w:rPr>
          <w:rFonts w:ascii="Bookman Old Style" w:hAnsi="Bookman Old Style"/>
          <w:sz w:val="28"/>
          <w:szCs w:val="28"/>
        </w:rPr>
        <w:t>Srpska</w:t>
      </w:r>
      <w:proofErr w:type="spellEnd"/>
      <w:r w:rsidRPr="006319C6">
        <w:rPr>
          <w:rFonts w:ascii="Bookman Old Style" w:hAnsi="Bookman Old Style"/>
          <w:sz w:val="28"/>
          <w:szCs w:val="28"/>
        </w:rPr>
        <w:t xml:space="preserve"> </w:t>
      </w:r>
      <w:proofErr w:type="spellStart"/>
      <w:r w:rsidRPr="006319C6">
        <w:rPr>
          <w:rFonts w:ascii="Bookman Old Style" w:hAnsi="Bookman Old Style"/>
          <w:sz w:val="28"/>
          <w:szCs w:val="28"/>
        </w:rPr>
        <w:t>Krajina</w:t>
      </w:r>
      <w:proofErr w:type="spellEnd"/>
      <w:r w:rsidRPr="006319C6">
        <w:rPr>
          <w:rFonts w:ascii="Bookman Old Style" w:hAnsi="Bookman Old Style"/>
          <w:sz w:val="28"/>
          <w:szCs w:val="28"/>
        </w:rPr>
        <w:t xml:space="preserve">, and in winning them a normal status in the negotiations leading to an ultimate goal, which now even the international community has offered to recognise. And that is </w:t>
      </w:r>
      <w:proofErr w:type="spellStart"/>
      <w:r w:rsidRPr="006319C6">
        <w:rPr>
          <w:rFonts w:ascii="Bookman Old Style" w:hAnsi="Bookman Old Style"/>
          <w:sz w:val="28"/>
          <w:szCs w:val="28"/>
        </w:rPr>
        <w:lastRenderedPageBreak/>
        <w:t>RepublikaSrpska</w:t>
      </w:r>
      <w:proofErr w:type="spellEnd"/>
      <w:r w:rsidRPr="006319C6">
        <w:rPr>
          <w:rFonts w:ascii="Bookman Old Style" w:hAnsi="Bookman Old Style"/>
          <w:sz w:val="28"/>
          <w:szCs w:val="28"/>
        </w:rPr>
        <w:t>, stretching over a half of the territory of the former Bosnia and Herzegovina!</w:t>
      </w:r>
      <w:r w:rsidRPr="006319C6">
        <w:rPr>
          <w:rStyle w:val="FootnoteReference"/>
          <w:rFonts w:ascii="Bookman Old Style" w:hAnsi="Bookman Old Style"/>
          <w:sz w:val="28"/>
          <w:szCs w:val="28"/>
        </w:rPr>
        <w:footnoteReference w:id="44"/>
      </w:r>
    </w:p>
    <w:p w14:paraId="79BCFF92" w14:textId="3DCFABB6" w:rsidR="003402BD" w:rsidRPr="006319C6" w:rsidRDefault="003402BD" w:rsidP="00CC1447">
      <w:pPr>
        <w:pStyle w:val="Paragraph"/>
        <w:spacing w:after="0" w:line="240" w:lineRule="auto"/>
        <w:rPr>
          <w:rFonts w:ascii="Bookman Old Style" w:hAnsi="Bookman Old Style"/>
          <w:sz w:val="28"/>
          <w:szCs w:val="28"/>
          <w:lang w:val="hr-HR"/>
        </w:rPr>
      </w:pPr>
      <w:r w:rsidRPr="006319C6">
        <w:rPr>
          <w:rFonts w:ascii="Bookman Old Style" w:hAnsi="Bookman Old Style"/>
          <w:sz w:val="28"/>
          <w:szCs w:val="28"/>
        </w:rPr>
        <w:tab/>
        <w:t>Milošević explained that th</w:t>
      </w:r>
      <w:r w:rsidR="00444AA9" w:rsidRPr="006319C6">
        <w:rPr>
          <w:rFonts w:ascii="Bookman Old Style" w:hAnsi="Bookman Old Style"/>
          <w:sz w:val="28"/>
          <w:szCs w:val="28"/>
        </w:rPr>
        <w:t>e real victory of the war in Bosnia and Herzogovina</w:t>
      </w:r>
      <w:r w:rsidRPr="006319C6">
        <w:rPr>
          <w:rFonts w:ascii="Bookman Old Style" w:hAnsi="Bookman Old Style"/>
          <w:sz w:val="28"/>
          <w:szCs w:val="28"/>
        </w:rPr>
        <w:t xml:space="preserve"> was to see </w:t>
      </w:r>
      <w:r w:rsidR="00444AA9" w:rsidRPr="006319C6">
        <w:rPr>
          <w:rFonts w:ascii="Bookman Old Style" w:hAnsi="Bookman Old Style"/>
          <w:sz w:val="28"/>
          <w:szCs w:val="28"/>
        </w:rPr>
        <w:t>territorial conquests recogniz</w:t>
      </w:r>
      <w:r w:rsidRPr="006319C6">
        <w:rPr>
          <w:rFonts w:ascii="Bookman Old Style" w:hAnsi="Bookman Old Style"/>
          <w:sz w:val="28"/>
          <w:szCs w:val="28"/>
        </w:rPr>
        <w:t>ed</w:t>
      </w:r>
      <w:r w:rsidR="00E23EA1" w:rsidRPr="006319C6">
        <w:rPr>
          <w:rFonts w:ascii="Bookman Old Style" w:hAnsi="Bookman Old Style"/>
          <w:sz w:val="28"/>
          <w:szCs w:val="28"/>
        </w:rPr>
        <w:t xml:space="preserve"> by the international community. H</w:t>
      </w:r>
      <w:r w:rsidRPr="006319C6">
        <w:rPr>
          <w:rFonts w:ascii="Bookman Old Style" w:hAnsi="Bookman Old Style"/>
          <w:sz w:val="28"/>
          <w:szCs w:val="28"/>
        </w:rPr>
        <w:t xml:space="preserve">e said that Serb conquests were “the maximum that </w:t>
      </w:r>
      <w:r w:rsidR="00E23EA1" w:rsidRPr="006319C6">
        <w:rPr>
          <w:rFonts w:ascii="Bookman Old Style" w:hAnsi="Bookman Old Style"/>
          <w:sz w:val="28"/>
          <w:szCs w:val="28"/>
        </w:rPr>
        <w:t>many have never even dreamed of</w:t>
      </w:r>
      <w:r w:rsidRPr="006319C6">
        <w:rPr>
          <w:rFonts w:ascii="Bookman Old Style" w:hAnsi="Bookman Old Style"/>
          <w:sz w:val="28"/>
          <w:szCs w:val="28"/>
        </w:rPr>
        <w:t>”</w:t>
      </w:r>
      <w:r w:rsidR="00E23EA1" w:rsidRPr="006319C6">
        <w:rPr>
          <w:rFonts w:ascii="Bookman Old Style" w:hAnsi="Bookman Old Style"/>
          <w:sz w:val="28"/>
          <w:szCs w:val="28"/>
        </w:rPr>
        <w:t>.</w:t>
      </w:r>
      <w:r w:rsidRPr="006319C6">
        <w:rPr>
          <w:rStyle w:val="FootnoteReference"/>
          <w:rFonts w:ascii="Bookman Old Style" w:hAnsi="Bookman Old Style"/>
          <w:sz w:val="28"/>
          <w:szCs w:val="28"/>
        </w:rPr>
        <w:footnoteReference w:id="45"/>
      </w:r>
      <w:r w:rsidRPr="006319C6">
        <w:rPr>
          <w:rFonts w:ascii="Bookman Old Style" w:hAnsi="Bookman Old Style"/>
          <w:sz w:val="28"/>
          <w:szCs w:val="28"/>
        </w:rPr>
        <w:t xml:space="preserve"> In order to </w:t>
      </w:r>
      <w:r w:rsidR="00E23EA1" w:rsidRPr="006319C6">
        <w:rPr>
          <w:rFonts w:ascii="Bookman Old Style" w:hAnsi="Bookman Old Style"/>
          <w:sz w:val="28"/>
          <w:szCs w:val="28"/>
        </w:rPr>
        <w:t>achieve ethnic separation in Bosnia and Herzogovina</w:t>
      </w:r>
      <w:r w:rsidRPr="006319C6">
        <w:rPr>
          <w:rFonts w:ascii="Bookman Old Style" w:hAnsi="Bookman Old Style"/>
          <w:sz w:val="28"/>
          <w:szCs w:val="28"/>
        </w:rPr>
        <w:t xml:space="preserve"> between the Serbs and two other ethnic groups – the Bosnian Muslims and Croats – Serb armed forces committed grave crimes. Milo</w:t>
      </w:r>
      <w:r w:rsidRPr="006319C6">
        <w:rPr>
          <w:rFonts w:ascii="Bookman Old Style" w:hAnsi="Bookman Old Style"/>
          <w:sz w:val="28"/>
          <w:szCs w:val="28"/>
          <w:lang w:val="hr-HR"/>
        </w:rPr>
        <w:t>šević was on record admitting that without the war, ethnic separation in B</w:t>
      </w:r>
      <w:r w:rsidR="009058B6" w:rsidRPr="006319C6">
        <w:rPr>
          <w:rFonts w:ascii="Bookman Old Style" w:hAnsi="Bookman Old Style"/>
          <w:sz w:val="28"/>
          <w:szCs w:val="28"/>
          <w:lang w:val="hr-HR"/>
        </w:rPr>
        <w:t>osnia and Herzogovina</w:t>
      </w:r>
      <w:r w:rsidRPr="006319C6">
        <w:rPr>
          <w:rFonts w:ascii="Bookman Old Style" w:hAnsi="Bookman Old Style"/>
          <w:sz w:val="28"/>
          <w:szCs w:val="28"/>
          <w:lang w:val="hr-HR"/>
        </w:rPr>
        <w:t xml:space="preserve"> would have not been possible.</w:t>
      </w:r>
      <w:r w:rsidRPr="006319C6">
        <w:rPr>
          <w:rStyle w:val="FootnoteReference"/>
          <w:rFonts w:ascii="Bookman Old Style" w:hAnsi="Bookman Old Style"/>
          <w:iCs/>
          <w:sz w:val="28"/>
          <w:szCs w:val="28"/>
        </w:rPr>
        <w:footnoteReference w:id="46"/>
      </w:r>
      <w:r w:rsidRPr="006319C6">
        <w:rPr>
          <w:rFonts w:ascii="Bookman Old Style" w:hAnsi="Bookman Old Style"/>
          <w:sz w:val="28"/>
          <w:szCs w:val="28"/>
          <w:lang w:val="hr-HR"/>
        </w:rPr>
        <w:t xml:space="preserve">  </w:t>
      </w:r>
    </w:p>
    <w:p w14:paraId="62A58118" w14:textId="30845B78" w:rsidR="003402BD" w:rsidRPr="006319C6" w:rsidRDefault="003402BD" w:rsidP="00CC1447">
      <w:pPr>
        <w:widowControl w:val="0"/>
        <w:autoSpaceDE w:val="0"/>
        <w:autoSpaceDN w:val="0"/>
        <w:adjustRightInd w:val="0"/>
        <w:jc w:val="both"/>
        <w:rPr>
          <w:rFonts w:ascii="Bookman Old Style" w:hAnsi="Bookman Old Style" w:cs="Times New Roman"/>
          <w:color w:val="141414"/>
          <w:sz w:val="28"/>
          <w:szCs w:val="28"/>
        </w:rPr>
      </w:pPr>
      <w:r w:rsidRPr="006319C6">
        <w:rPr>
          <w:rFonts w:ascii="Bookman Old Style" w:hAnsi="Bookman Old Style" w:cs="Times New Roman"/>
          <w:sz w:val="28"/>
          <w:szCs w:val="28"/>
        </w:rPr>
        <w:tab/>
        <w:t>When Minister Da</w:t>
      </w:r>
      <w:r w:rsidRPr="006319C6">
        <w:rPr>
          <w:rFonts w:ascii="Bookman Old Style" w:hAnsi="Bookman Old Style" w:cs="Times New Roman"/>
          <w:sz w:val="28"/>
          <w:szCs w:val="28"/>
          <w:lang w:val="hr-HR"/>
        </w:rPr>
        <w:t>čić tried to use the Karadžić judgment for political purposes</w:t>
      </w:r>
      <w:r w:rsidR="009058B6" w:rsidRPr="006319C6">
        <w:rPr>
          <w:rFonts w:ascii="Bookman Old Style" w:hAnsi="Bookman Old Style" w:cs="Times New Roman"/>
          <w:sz w:val="28"/>
          <w:szCs w:val="28"/>
          <w:lang w:val="hr-HR"/>
        </w:rPr>
        <w:t>, his atte</w:t>
      </w:r>
      <w:r w:rsidRPr="006319C6">
        <w:rPr>
          <w:rFonts w:ascii="Bookman Old Style" w:hAnsi="Bookman Old Style" w:cs="Times New Roman"/>
          <w:sz w:val="28"/>
          <w:szCs w:val="28"/>
          <w:lang w:val="hr-HR"/>
        </w:rPr>
        <w:t>m</w:t>
      </w:r>
      <w:r w:rsidR="009058B6" w:rsidRPr="006319C6">
        <w:rPr>
          <w:rFonts w:ascii="Bookman Old Style" w:hAnsi="Bookman Old Style" w:cs="Times New Roman"/>
          <w:sz w:val="28"/>
          <w:szCs w:val="28"/>
          <w:lang w:val="hr-HR"/>
        </w:rPr>
        <w:t>pt backfired as the attention of</w:t>
      </w:r>
      <w:r w:rsidRPr="006319C6">
        <w:rPr>
          <w:rFonts w:ascii="Bookman Old Style" w:hAnsi="Bookman Old Style" w:cs="Times New Roman"/>
          <w:sz w:val="28"/>
          <w:szCs w:val="28"/>
          <w:lang w:val="hr-HR"/>
        </w:rPr>
        <w:t xml:space="preserve"> t</w:t>
      </w:r>
      <w:r w:rsidR="009058B6" w:rsidRPr="006319C6">
        <w:rPr>
          <w:rFonts w:ascii="Bookman Old Style" w:hAnsi="Bookman Old Style" w:cs="Times New Roman"/>
          <w:color w:val="141414"/>
          <w:sz w:val="28"/>
          <w:szCs w:val="28"/>
          <w:lang w:val="hr-HR"/>
        </w:rPr>
        <w:t>he media in Bosnia and Herzogovina</w:t>
      </w:r>
      <w:r w:rsidRPr="006319C6">
        <w:rPr>
          <w:rFonts w:ascii="Bookman Old Style" w:hAnsi="Bookman Old Style" w:cs="Times New Roman"/>
          <w:color w:val="141414"/>
          <w:sz w:val="28"/>
          <w:szCs w:val="28"/>
          <w:lang w:val="hr-HR"/>
        </w:rPr>
        <w:t xml:space="preserve"> and Croatia turned to Dačić</w:t>
      </w:r>
      <w:r w:rsidRPr="006319C6">
        <w:rPr>
          <w:rFonts w:ascii="Bookman Old Style" w:hAnsi="Bookman Old Style" w:cs="Times New Roman"/>
          <w:color w:val="141414"/>
          <w:sz w:val="28"/>
          <w:szCs w:val="28"/>
          <w:lang w:val="nl-NL"/>
        </w:rPr>
        <w:t>’s own role in the events leading to the war in the 1990s.</w:t>
      </w:r>
      <w:r w:rsidRPr="006319C6">
        <w:rPr>
          <w:rStyle w:val="FootnoteReference"/>
          <w:rFonts w:ascii="Bookman Old Style" w:hAnsi="Bookman Old Style"/>
          <w:color w:val="141414"/>
          <w:sz w:val="28"/>
          <w:szCs w:val="28"/>
          <w:lang w:val="nl-NL"/>
        </w:rPr>
        <w:footnoteReference w:id="47"/>
      </w:r>
      <w:r w:rsidRPr="006319C6">
        <w:rPr>
          <w:rFonts w:ascii="Bookman Old Style" w:hAnsi="Bookman Old Style" w:cs="Times New Roman"/>
          <w:color w:val="141414"/>
          <w:sz w:val="28"/>
          <w:szCs w:val="28"/>
          <w:lang w:val="nl-NL"/>
        </w:rPr>
        <w:t xml:space="preserve"> </w:t>
      </w:r>
      <w:r w:rsidRPr="006319C6">
        <w:rPr>
          <w:rFonts w:ascii="Bookman Old Style" w:hAnsi="Bookman Old Style" w:cs="Times New Roman"/>
          <w:color w:val="141414"/>
          <w:sz w:val="28"/>
          <w:szCs w:val="28"/>
          <w:lang w:val="hr-HR"/>
        </w:rPr>
        <w:t>Minister Dačić's contribution to Serbia'</w:t>
      </w:r>
      <w:r w:rsidR="008B3CE1" w:rsidRPr="006319C6">
        <w:rPr>
          <w:rFonts w:ascii="Bookman Old Style" w:hAnsi="Bookman Old Style" w:cs="Times New Roman"/>
          <w:color w:val="141414"/>
          <w:sz w:val="28"/>
          <w:szCs w:val="28"/>
          <w:lang w:val="hr-HR"/>
        </w:rPr>
        <w:t>s preparation for the war in Bosnia and Herzogovina</w:t>
      </w:r>
      <w:r w:rsidR="008B3CE1" w:rsidRPr="006319C6">
        <w:rPr>
          <w:rFonts w:ascii="Bookman Old Style" w:hAnsi="Bookman Old Style" w:cs="Times New Roman"/>
          <w:sz w:val="28"/>
          <w:szCs w:val="28"/>
        </w:rPr>
        <w:t xml:space="preserve"> from 1992</w:t>
      </w:r>
      <w:r w:rsidRPr="006319C6">
        <w:rPr>
          <w:rFonts w:ascii="Bookman Old Style" w:hAnsi="Bookman Old Style" w:cs="Times New Roman"/>
          <w:color w:val="141414"/>
          <w:sz w:val="28"/>
          <w:szCs w:val="28"/>
          <w:lang w:val="hr-HR"/>
        </w:rPr>
        <w:t xml:space="preserve"> had been evidenced in the Milošević</w:t>
      </w:r>
      <w:r w:rsidRPr="006319C6">
        <w:rPr>
          <w:rFonts w:ascii="Bookman Old Style" w:hAnsi="Bookman Old Style" w:cs="Times New Roman"/>
          <w:color w:val="141414"/>
          <w:sz w:val="28"/>
          <w:szCs w:val="28"/>
          <w:lang w:val="nl-NL"/>
        </w:rPr>
        <w:t>’s trial</w:t>
      </w:r>
      <w:r w:rsidRPr="006319C6">
        <w:rPr>
          <w:rFonts w:ascii="Bookman Old Style" w:hAnsi="Bookman Old Style" w:cs="Times New Roman"/>
          <w:color w:val="141414"/>
          <w:sz w:val="28"/>
          <w:szCs w:val="28"/>
          <w:lang w:val="hr-HR"/>
        </w:rPr>
        <w:t xml:space="preserve">. The evidence came from </w:t>
      </w:r>
      <w:r w:rsidR="00806E59" w:rsidRPr="006319C6">
        <w:rPr>
          <w:rFonts w:ascii="Bookman Old Style" w:hAnsi="Bookman Old Style" w:cs="Times New Roman"/>
          <w:color w:val="141414"/>
          <w:sz w:val="28"/>
          <w:szCs w:val="28"/>
          <w:lang w:val="en-GB"/>
        </w:rPr>
        <w:t>“</w:t>
      </w:r>
      <w:r w:rsidRPr="006319C6">
        <w:rPr>
          <w:rFonts w:ascii="Bookman Old Style" w:hAnsi="Bookman Old Style" w:cs="Times New Roman"/>
          <w:color w:val="141414"/>
          <w:sz w:val="28"/>
          <w:szCs w:val="28"/>
          <w:lang w:val="hr-HR"/>
        </w:rPr>
        <w:t>open sources</w:t>
      </w:r>
      <w:r w:rsidR="00806E59" w:rsidRPr="006319C6">
        <w:rPr>
          <w:rFonts w:ascii="Bookman Old Style" w:hAnsi="Bookman Old Style" w:cs="Times New Roman"/>
          <w:color w:val="141414"/>
          <w:sz w:val="28"/>
          <w:szCs w:val="28"/>
          <w:lang w:val="en-GB"/>
        </w:rPr>
        <w:t>”</w:t>
      </w:r>
      <w:r w:rsidRPr="006319C6">
        <w:rPr>
          <w:rFonts w:ascii="Bookman Old Style" w:hAnsi="Bookman Old Style" w:cs="Times New Roman"/>
          <w:color w:val="141414"/>
          <w:sz w:val="28"/>
          <w:szCs w:val="28"/>
          <w:lang w:val="hr-HR"/>
        </w:rPr>
        <w:t xml:space="preserve">, a journal </w:t>
      </w:r>
      <w:r w:rsidRPr="006319C6">
        <w:rPr>
          <w:rFonts w:ascii="Bookman Old Style" w:hAnsi="Bookman Old Style" w:cs="Times New Roman"/>
          <w:i/>
          <w:color w:val="141414"/>
          <w:sz w:val="28"/>
          <w:szCs w:val="28"/>
          <w:lang w:val="hr-HR"/>
        </w:rPr>
        <w:t>Epoha</w:t>
      </w:r>
      <w:r w:rsidRPr="006319C6">
        <w:rPr>
          <w:rFonts w:ascii="Bookman Old Style" w:hAnsi="Bookman Old Style" w:cs="Times New Roman"/>
          <w:color w:val="141414"/>
          <w:sz w:val="28"/>
          <w:szCs w:val="28"/>
          <w:lang w:val="hr-HR"/>
        </w:rPr>
        <w:t xml:space="preserve"> published in Belgrade by the governing Socialist Party of Serbia (SPS). The </w:t>
      </w:r>
      <w:r w:rsidRPr="006319C6">
        <w:rPr>
          <w:rFonts w:ascii="Bookman Old Style" w:hAnsi="Bookman Old Style" w:cs="Times New Roman"/>
          <w:i/>
          <w:color w:val="141414"/>
          <w:sz w:val="28"/>
          <w:szCs w:val="28"/>
          <w:lang w:val="hr-HR"/>
        </w:rPr>
        <w:t>Epoha</w:t>
      </w:r>
      <w:r w:rsidRPr="006319C6">
        <w:rPr>
          <w:rFonts w:ascii="Bookman Old Style" w:hAnsi="Bookman Old Style" w:cs="Times New Roman"/>
          <w:color w:val="141414"/>
          <w:sz w:val="28"/>
          <w:szCs w:val="28"/>
          <w:lang w:val="hr-HR"/>
        </w:rPr>
        <w:t xml:space="preserve"> issue of 7 January 1992, </w:t>
      </w:r>
      <w:r w:rsidR="00045CFF" w:rsidRPr="006319C6">
        <w:rPr>
          <w:rFonts w:ascii="Bookman Old Style" w:hAnsi="Bookman Old Style" w:cs="Times New Roman"/>
          <w:color w:val="141414"/>
          <w:sz w:val="28"/>
          <w:szCs w:val="28"/>
          <w:lang w:val="hr-HR"/>
        </w:rPr>
        <w:t xml:space="preserve">included </w:t>
      </w:r>
      <w:r w:rsidRPr="006319C6">
        <w:rPr>
          <w:rFonts w:ascii="Bookman Old Style" w:hAnsi="Bookman Old Style" w:cs="Times New Roman"/>
          <w:color w:val="141414"/>
          <w:sz w:val="28"/>
          <w:szCs w:val="28"/>
          <w:lang w:val="hr-HR"/>
        </w:rPr>
        <w:t>an  article entitled</w:t>
      </w:r>
      <w:r w:rsidR="008B3CE1" w:rsidRPr="006319C6">
        <w:rPr>
          <w:rFonts w:ascii="Bookman Old Style" w:hAnsi="Bookman Old Style" w:cs="Times New Roman"/>
          <w:color w:val="141414"/>
          <w:sz w:val="28"/>
          <w:szCs w:val="28"/>
          <w:lang w:val="hr-HR"/>
        </w:rPr>
        <w:t xml:space="preserve"> "Yugoslavia for the Third Time</w:t>
      </w:r>
      <w:r w:rsidRPr="006319C6">
        <w:rPr>
          <w:rFonts w:ascii="Bookman Old Style" w:hAnsi="Bookman Old Style" w:cs="Times New Roman"/>
          <w:color w:val="141414"/>
          <w:sz w:val="28"/>
          <w:szCs w:val="28"/>
          <w:lang w:val="hr-HR"/>
        </w:rPr>
        <w:t>"</w:t>
      </w:r>
      <w:r w:rsidR="008B3CE1" w:rsidRPr="006319C6">
        <w:rPr>
          <w:rFonts w:ascii="Bookman Old Style" w:hAnsi="Bookman Old Style" w:cs="Times New Roman"/>
          <w:color w:val="141414"/>
          <w:sz w:val="28"/>
          <w:szCs w:val="28"/>
          <w:lang w:val="hr-HR"/>
        </w:rPr>
        <w:t>.</w:t>
      </w:r>
      <w:r w:rsidRPr="006319C6">
        <w:rPr>
          <w:rFonts w:ascii="Bookman Old Style" w:hAnsi="Bookman Old Style" w:cs="Times New Roman"/>
          <w:color w:val="141414"/>
          <w:sz w:val="28"/>
          <w:szCs w:val="28"/>
          <w:lang w:val="hr-HR"/>
        </w:rPr>
        <w:t xml:space="preserve"> The 1992 article inc</w:t>
      </w:r>
      <w:r w:rsidR="008B3CE1" w:rsidRPr="006319C6">
        <w:rPr>
          <w:rFonts w:ascii="Bookman Old Style" w:hAnsi="Bookman Old Style" w:cs="Times New Roman"/>
          <w:color w:val="141414"/>
          <w:sz w:val="28"/>
          <w:szCs w:val="28"/>
          <w:lang w:val="hr-HR"/>
        </w:rPr>
        <w:t>orporated a tell-tale map of Bosnia and Herzogovina</w:t>
      </w:r>
      <w:r w:rsidRPr="006319C6">
        <w:rPr>
          <w:rFonts w:ascii="Bookman Old Style" w:hAnsi="Bookman Old Style" w:cs="Times New Roman"/>
          <w:color w:val="141414"/>
          <w:sz w:val="28"/>
          <w:szCs w:val="28"/>
          <w:lang w:val="hr-HR"/>
        </w:rPr>
        <w:t>.</w:t>
      </w:r>
      <w:r w:rsidRPr="006319C6">
        <w:rPr>
          <w:rStyle w:val="FootnoteReference"/>
          <w:rFonts w:ascii="Bookman Old Style" w:hAnsi="Bookman Old Style"/>
          <w:color w:val="141414"/>
          <w:sz w:val="28"/>
          <w:szCs w:val="28"/>
        </w:rPr>
        <w:footnoteReference w:id="48"/>
      </w:r>
      <w:r w:rsidRPr="006319C6">
        <w:rPr>
          <w:rFonts w:ascii="Bookman Old Style" w:hAnsi="Bookman Old Style" w:cs="Times New Roman"/>
          <w:color w:val="141414"/>
          <w:sz w:val="28"/>
          <w:szCs w:val="28"/>
        </w:rPr>
        <w:t xml:space="preserve">  </w:t>
      </w:r>
      <w:r w:rsidRPr="006319C6">
        <w:rPr>
          <w:rFonts w:ascii="Bookman Old Style" w:hAnsi="Bookman Old Style" w:cs="Times New Roman"/>
          <w:color w:val="141414"/>
          <w:sz w:val="28"/>
          <w:szCs w:val="28"/>
          <w:lang w:val="hr-HR"/>
        </w:rPr>
        <w:t xml:space="preserve">The map depicted the designated </w:t>
      </w:r>
      <w:r w:rsidR="008B3CE1" w:rsidRPr="006319C6">
        <w:rPr>
          <w:rFonts w:ascii="Bookman Old Style" w:hAnsi="Bookman Old Style" w:cs="Times New Roman"/>
          <w:color w:val="141414"/>
          <w:sz w:val="28"/>
          <w:szCs w:val="28"/>
        </w:rPr>
        <w:t xml:space="preserve">“Serb municipalities” in Bosnia and </w:t>
      </w:r>
      <w:proofErr w:type="spellStart"/>
      <w:r w:rsidR="008B3CE1" w:rsidRPr="006319C6">
        <w:rPr>
          <w:rFonts w:ascii="Bookman Old Style" w:hAnsi="Bookman Old Style" w:cs="Times New Roman"/>
          <w:color w:val="141414"/>
          <w:sz w:val="28"/>
          <w:szCs w:val="28"/>
        </w:rPr>
        <w:t>Herzogovina</w:t>
      </w:r>
      <w:proofErr w:type="spellEnd"/>
      <w:r w:rsidR="00045CFF" w:rsidRPr="006319C6">
        <w:rPr>
          <w:rFonts w:ascii="Bookman Old Style" w:hAnsi="Bookman Old Style" w:cs="Times New Roman"/>
          <w:color w:val="141414"/>
          <w:sz w:val="28"/>
          <w:szCs w:val="28"/>
        </w:rPr>
        <w:t>,</w:t>
      </w:r>
      <w:r w:rsidRPr="006319C6">
        <w:rPr>
          <w:rFonts w:ascii="Bookman Old Style" w:hAnsi="Bookman Old Style" w:cs="Times New Roman"/>
          <w:color w:val="141414"/>
          <w:sz w:val="28"/>
          <w:szCs w:val="28"/>
          <w:lang w:val="hr-HR"/>
        </w:rPr>
        <w:t xml:space="preserve"> showing the municipalites in which a majority of Bosnian Serbs voted in the November 1991 referendum vote to stay in Yugoslavia. The results of that referendum were then used as a demarcation of the Se</w:t>
      </w:r>
      <w:r w:rsidR="008B3CE1" w:rsidRPr="006319C6">
        <w:rPr>
          <w:rFonts w:ascii="Bookman Old Style" w:hAnsi="Bookman Old Style" w:cs="Times New Roman"/>
          <w:color w:val="141414"/>
          <w:sz w:val="28"/>
          <w:szCs w:val="28"/>
          <w:lang w:val="hr-HR"/>
        </w:rPr>
        <w:t>rb designated territories in Bosnia and Herzogovina</w:t>
      </w:r>
      <w:r w:rsidRPr="006319C6">
        <w:rPr>
          <w:rFonts w:ascii="Bookman Old Style" w:hAnsi="Bookman Old Style" w:cs="Times New Roman"/>
          <w:color w:val="141414"/>
          <w:sz w:val="28"/>
          <w:szCs w:val="28"/>
          <w:lang w:val="hr-HR"/>
        </w:rPr>
        <w:t xml:space="preserve">. </w:t>
      </w:r>
      <w:r w:rsidRPr="006319C6">
        <w:rPr>
          <w:rFonts w:ascii="Bookman Old Style" w:hAnsi="Bookman Old Style" w:cs="Times New Roman"/>
          <w:color w:val="141414"/>
          <w:sz w:val="28"/>
          <w:szCs w:val="28"/>
        </w:rPr>
        <w:t xml:space="preserve">The 1992 </w:t>
      </w:r>
      <w:proofErr w:type="spellStart"/>
      <w:r w:rsidRPr="006319C6">
        <w:rPr>
          <w:rFonts w:ascii="Bookman Old Style" w:hAnsi="Bookman Old Style" w:cs="Times New Roman"/>
          <w:i/>
          <w:color w:val="141414"/>
          <w:sz w:val="28"/>
          <w:szCs w:val="28"/>
        </w:rPr>
        <w:t>Epoha</w:t>
      </w:r>
      <w:proofErr w:type="spellEnd"/>
      <w:r w:rsidRPr="006319C6">
        <w:rPr>
          <w:rFonts w:ascii="Bookman Old Style" w:hAnsi="Bookman Old Style" w:cs="Times New Roman"/>
          <w:color w:val="141414"/>
          <w:sz w:val="28"/>
          <w:szCs w:val="28"/>
        </w:rPr>
        <w:t xml:space="preserve"> map roughly presented the projected western bor</w:t>
      </w:r>
      <w:r w:rsidR="008B3CE1" w:rsidRPr="006319C6">
        <w:rPr>
          <w:rFonts w:ascii="Bookman Old Style" w:hAnsi="Bookman Old Style" w:cs="Times New Roman"/>
          <w:color w:val="141414"/>
          <w:sz w:val="28"/>
          <w:szCs w:val="28"/>
        </w:rPr>
        <w:t>der of the designated Serbian S</w:t>
      </w:r>
      <w:r w:rsidRPr="006319C6">
        <w:rPr>
          <w:rFonts w:ascii="Bookman Old Style" w:hAnsi="Bookman Old Style" w:cs="Times New Roman"/>
          <w:color w:val="141414"/>
          <w:sz w:val="28"/>
          <w:szCs w:val="28"/>
        </w:rPr>
        <w:t xml:space="preserve">tate. In the </w:t>
      </w:r>
      <w:r w:rsidR="008B3CE1" w:rsidRPr="006319C6">
        <w:rPr>
          <w:rFonts w:ascii="Bookman Old Style" w:hAnsi="Bookman Old Style" w:cs="Times New Roman"/>
          <w:color w:val="141414"/>
          <w:sz w:val="28"/>
          <w:szCs w:val="28"/>
          <w:lang w:val="hr-HR"/>
        </w:rPr>
        <w:t xml:space="preserve">subsequent war in Bosnia </w:t>
      </w:r>
      <w:r w:rsidR="008B3CE1" w:rsidRPr="006319C6">
        <w:rPr>
          <w:rFonts w:ascii="Bookman Old Style" w:hAnsi="Bookman Old Style" w:cs="Times New Roman"/>
          <w:color w:val="141414"/>
          <w:sz w:val="28"/>
          <w:szCs w:val="28"/>
          <w:lang w:val="hr-HR"/>
        </w:rPr>
        <w:lastRenderedPageBreak/>
        <w:t>and Herzogovina that would start</w:t>
      </w:r>
      <w:r w:rsidRPr="006319C6">
        <w:rPr>
          <w:rFonts w:ascii="Bookman Old Style" w:hAnsi="Bookman Old Style" w:cs="Times New Roman"/>
          <w:color w:val="141414"/>
          <w:sz w:val="28"/>
          <w:szCs w:val="28"/>
          <w:lang w:val="hr-HR"/>
        </w:rPr>
        <w:t xml:space="preserve"> three months later, the Serb armed forces targeted almost all those </w:t>
      </w:r>
      <w:r w:rsidRPr="006319C6">
        <w:rPr>
          <w:rFonts w:ascii="Bookman Old Style" w:hAnsi="Bookman Old Style" w:cs="Times New Roman"/>
          <w:color w:val="141414"/>
          <w:sz w:val="28"/>
          <w:szCs w:val="28"/>
          <w:lang w:val="nl-NL"/>
        </w:rPr>
        <w:t xml:space="preserve">“Serb </w:t>
      </w:r>
      <w:r w:rsidR="001569EF" w:rsidRPr="006319C6">
        <w:rPr>
          <w:rFonts w:ascii="Bookman Old Style" w:hAnsi="Bookman Old Style" w:cs="Times New Roman"/>
          <w:color w:val="141414"/>
          <w:sz w:val="28"/>
          <w:szCs w:val="28"/>
          <w:lang w:val="hr-HR"/>
        </w:rPr>
        <w:t>municipalities</w:t>
      </w:r>
      <w:r w:rsidR="001569EF" w:rsidRPr="006319C6">
        <w:rPr>
          <w:rFonts w:ascii="Bookman Old Style" w:hAnsi="Bookman Old Style" w:cs="Times New Roman"/>
          <w:color w:val="141414"/>
          <w:sz w:val="28"/>
          <w:szCs w:val="28"/>
        </w:rPr>
        <w:t>” marked o</w:t>
      </w:r>
      <w:r w:rsidRPr="006319C6">
        <w:rPr>
          <w:rFonts w:ascii="Bookman Old Style" w:hAnsi="Bookman Old Style" w:cs="Times New Roman"/>
          <w:color w:val="141414"/>
          <w:sz w:val="28"/>
          <w:szCs w:val="28"/>
        </w:rPr>
        <w:t xml:space="preserve">n the 1992 </w:t>
      </w:r>
      <w:proofErr w:type="spellStart"/>
      <w:r w:rsidRPr="006319C6">
        <w:rPr>
          <w:rFonts w:ascii="Bookman Old Style" w:hAnsi="Bookman Old Style" w:cs="Times New Roman"/>
          <w:i/>
          <w:color w:val="141414"/>
          <w:sz w:val="28"/>
          <w:szCs w:val="28"/>
        </w:rPr>
        <w:t>Epoha</w:t>
      </w:r>
      <w:proofErr w:type="spellEnd"/>
      <w:r w:rsidRPr="006319C6">
        <w:rPr>
          <w:rFonts w:ascii="Bookman Old Style" w:hAnsi="Bookman Old Style" w:cs="Times New Roman"/>
          <w:color w:val="141414"/>
          <w:sz w:val="28"/>
          <w:szCs w:val="28"/>
        </w:rPr>
        <w:t xml:space="preserve"> map in order to achieve ethnic separation in the Serb designated territories. </w:t>
      </w:r>
    </w:p>
    <w:p w14:paraId="6CF4AAFC" w14:textId="09056A0D" w:rsidR="009E1765" w:rsidRPr="006319C6" w:rsidRDefault="009E1765" w:rsidP="00CC1447">
      <w:pPr>
        <w:widowControl w:val="0"/>
        <w:autoSpaceDE w:val="0"/>
        <w:autoSpaceDN w:val="0"/>
        <w:adjustRightInd w:val="0"/>
        <w:jc w:val="both"/>
        <w:rPr>
          <w:rFonts w:ascii="Bookman Old Style" w:hAnsi="Bookman Old Style" w:cs="Times New Roman"/>
          <w:color w:val="141414"/>
          <w:sz w:val="28"/>
          <w:szCs w:val="28"/>
          <w:lang w:val="hr-HR"/>
        </w:rPr>
      </w:pPr>
      <w:r w:rsidRPr="006319C6">
        <w:rPr>
          <w:rFonts w:ascii="Bookman Old Style" w:hAnsi="Bookman Old Style" w:cs="Times New Roman"/>
          <w:sz w:val="28"/>
          <w:szCs w:val="28"/>
          <w:lang w:val="hr-HR"/>
        </w:rPr>
        <w:tab/>
        <w:t>This correlation of evidence delivered a powerful example of how a trial record could be used to counter the deniers of past crimes.</w:t>
      </w:r>
      <w:r w:rsidRPr="006319C6">
        <w:rPr>
          <w:rFonts w:ascii="Bookman Old Style" w:hAnsi="Bookman Old Style" w:cs="Times New Roman"/>
          <w:color w:val="000000"/>
          <w:sz w:val="28"/>
          <w:szCs w:val="28"/>
        </w:rPr>
        <w:t xml:space="preserve"> But the same example also signals the problem of how </w:t>
      </w:r>
      <w:r w:rsidRPr="006319C6">
        <w:rPr>
          <w:rFonts w:ascii="Bookman Old Style" w:hAnsi="Bookman Old Style" w:cs="Times New Roman"/>
          <w:sz w:val="28"/>
          <w:szCs w:val="28"/>
          <w:lang w:val="hr-HR"/>
        </w:rPr>
        <w:t>lengthy judgments of thousands of pages in addition to hundreds of thousands of pages of evidence – which are not readily accessible to journalists and outside users - make the work of deniers easier than it should be.</w:t>
      </w:r>
    </w:p>
    <w:p w14:paraId="0256613F" w14:textId="77777777" w:rsidR="003402BD" w:rsidRPr="006319C6" w:rsidRDefault="003402BD" w:rsidP="00CC1447">
      <w:pPr>
        <w:widowControl w:val="0"/>
        <w:autoSpaceDE w:val="0"/>
        <w:autoSpaceDN w:val="0"/>
        <w:adjustRightInd w:val="0"/>
        <w:jc w:val="both"/>
        <w:rPr>
          <w:rFonts w:ascii="Bookman Old Style" w:hAnsi="Bookman Old Style" w:cs="Times New Roman"/>
          <w:color w:val="141414"/>
          <w:sz w:val="28"/>
          <w:szCs w:val="28"/>
          <w:highlight w:val="cyan"/>
          <w:lang w:val="hr-HR"/>
        </w:rPr>
      </w:pPr>
    </w:p>
    <w:p w14:paraId="46DD541A" w14:textId="77777777" w:rsidR="003402BD" w:rsidRPr="006319C6" w:rsidRDefault="003402BD" w:rsidP="00CC1447">
      <w:pPr>
        <w:widowControl w:val="0"/>
        <w:autoSpaceDE w:val="0"/>
        <w:autoSpaceDN w:val="0"/>
        <w:adjustRightInd w:val="0"/>
        <w:jc w:val="both"/>
        <w:rPr>
          <w:rFonts w:ascii="Bookman Old Style" w:hAnsi="Bookman Old Style" w:cs="Times New Roman"/>
          <w:color w:val="141414"/>
          <w:sz w:val="28"/>
          <w:szCs w:val="28"/>
          <w:lang w:val="hr-HR"/>
        </w:rPr>
      </w:pPr>
      <w:r w:rsidRPr="006319C6">
        <w:rPr>
          <w:rFonts w:ascii="Bookman Old Style" w:hAnsi="Bookman Old Style" w:cs="Times New Roman"/>
          <w:color w:val="141414"/>
          <w:sz w:val="28"/>
          <w:szCs w:val="28"/>
          <w:lang w:val="hr-HR"/>
        </w:rPr>
        <w:tab/>
      </w:r>
      <w:r w:rsidRPr="006319C6">
        <w:rPr>
          <w:rFonts w:ascii="Bookman Old Style" w:hAnsi="Bookman Old Style" w:cs="Times New Roman"/>
          <w:noProof/>
          <w:color w:val="141414"/>
          <w:sz w:val="28"/>
          <w:szCs w:val="28"/>
        </w:rPr>
        <w:drawing>
          <wp:inline distT="0" distB="0" distL="0" distR="0" wp14:anchorId="48994ABF" wp14:editId="3BD54FEA">
            <wp:extent cx="4111283" cy="29240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Epoha2.jpg"/>
                    <pic:cNvPicPr/>
                  </pic:nvPicPr>
                  <pic:blipFill>
                    <a:blip r:embed="rId7">
                      <a:extLst>
                        <a:ext uri="{28A0092B-C50C-407E-A947-70E740481C1C}">
                          <a14:useLocalDpi xmlns:a14="http://schemas.microsoft.com/office/drawing/2010/main" val="0"/>
                        </a:ext>
                      </a:extLst>
                    </a:blip>
                    <a:stretch>
                      <a:fillRect/>
                    </a:stretch>
                  </pic:blipFill>
                  <pic:spPr>
                    <a:xfrm>
                      <a:off x="0" y="0"/>
                      <a:ext cx="4113357" cy="2925564"/>
                    </a:xfrm>
                    <a:prstGeom prst="rect">
                      <a:avLst/>
                    </a:prstGeom>
                  </pic:spPr>
                </pic:pic>
              </a:graphicData>
            </a:graphic>
          </wp:inline>
        </w:drawing>
      </w:r>
    </w:p>
    <w:p w14:paraId="213B8840" w14:textId="4FE9E137" w:rsidR="003402BD" w:rsidRPr="006319C6" w:rsidRDefault="003402BD" w:rsidP="00F90108">
      <w:pPr>
        <w:pStyle w:val="FootnoteText"/>
        <w:jc w:val="both"/>
        <w:rPr>
          <w:rFonts w:ascii="Bookman Old Style" w:hAnsi="Bookman Old Style"/>
          <w:sz w:val="28"/>
          <w:szCs w:val="28"/>
          <w:lang w:val="nl-NL"/>
        </w:rPr>
      </w:pPr>
      <w:r w:rsidRPr="006319C6">
        <w:rPr>
          <w:rStyle w:val="FootnoteTextChar3"/>
          <w:rFonts w:ascii="Bookman Old Style" w:hAnsi="Bookman Old Style"/>
          <w:b/>
          <w:sz w:val="28"/>
          <w:szCs w:val="28"/>
        </w:rPr>
        <w:t>Source</w:t>
      </w:r>
      <w:r w:rsidRPr="006319C6">
        <w:rPr>
          <w:rStyle w:val="FootnoteTextChar3"/>
          <w:rFonts w:ascii="Bookman Old Style" w:hAnsi="Bookman Old Style"/>
          <w:b/>
          <w:sz w:val="28"/>
          <w:szCs w:val="28"/>
          <w:lang w:val="nl-NL"/>
        </w:rPr>
        <w:t>:</w:t>
      </w:r>
      <w:r w:rsidRPr="006319C6">
        <w:rPr>
          <w:rStyle w:val="FootnoteTextChar3"/>
          <w:rFonts w:ascii="Bookman Old Style" w:hAnsi="Bookman Old Style"/>
          <w:sz w:val="28"/>
          <w:szCs w:val="28"/>
          <w:lang w:val="nl-NL"/>
        </w:rPr>
        <w:t xml:space="preserve"> </w:t>
      </w:r>
      <w:r w:rsidRPr="006319C6">
        <w:rPr>
          <w:rStyle w:val="FootnoteTextChar3"/>
          <w:rFonts w:ascii="Bookman Old Style" w:hAnsi="Bookman Old Style"/>
          <w:sz w:val="28"/>
          <w:szCs w:val="28"/>
        </w:rPr>
        <w:t xml:space="preserve">ICTY, Exhibit P808a (Prosecution v. Slobodan </w:t>
      </w:r>
      <w:proofErr w:type="spellStart"/>
      <w:r w:rsidRPr="006319C6">
        <w:rPr>
          <w:rStyle w:val="FootnoteTextChar3"/>
          <w:rFonts w:ascii="Bookman Old Style" w:hAnsi="Bookman Old Style"/>
          <w:sz w:val="28"/>
          <w:szCs w:val="28"/>
        </w:rPr>
        <w:t>Miloš</w:t>
      </w:r>
      <w:r w:rsidR="001569EF" w:rsidRPr="006319C6">
        <w:rPr>
          <w:rStyle w:val="FootnoteTextChar3"/>
          <w:rFonts w:ascii="Bookman Old Style" w:hAnsi="Bookman Old Style"/>
          <w:sz w:val="28"/>
          <w:szCs w:val="28"/>
        </w:rPr>
        <w:t>ević</w:t>
      </w:r>
      <w:proofErr w:type="spellEnd"/>
      <w:r w:rsidR="001569EF" w:rsidRPr="006319C6">
        <w:rPr>
          <w:rStyle w:val="FootnoteTextChar3"/>
          <w:rFonts w:ascii="Bookman Old Style" w:hAnsi="Bookman Old Style"/>
          <w:sz w:val="28"/>
          <w:szCs w:val="28"/>
        </w:rPr>
        <w:t xml:space="preserve">, IT-02-54). The light </w:t>
      </w:r>
      <w:proofErr w:type="spellStart"/>
      <w:r w:rsidR="001569EF" w:rsidRPr="006319C6">
        <w:rPr>
          <w:rStyle w:val="FootnoteTextChar3"/>
          <w:rFonts w:ascii="Bookman Old Style" w:hAnsi="Bookman Old Style"/>
          <w:sz w:val="28"/>
          <w:szCs w:val="28"/>
        </w:rPr>
        <w:t>colo</w:t>
      </w:r>
      <w:r w:rsidRPr="006319C6">
        <w:rPr>
          <w:rStyle w:val="FootnoteTextChar3"/>
          <w:rFonts w:ascii="Bookman Old Style" w:hAnsi="Bookman Old Style"/>
          <w:sz w:val="28"/>
          <w:szCs w:val="28"/>
        </w:rPr>
        <w:t>r</w:t>
      </w:r>
      <w:proofErr w:type="spellEnd"/>
      <w:r w:rsidRPr="006319C6">
        <w:rPr>
          <w:rStyle w:val="FootnoteTextChar3"/>
          <w:rFonts w:ascii="Bookman Old Style" w:hAnsi="Bookman Old Style"/>
          <w:sz w:val="28"/>
          <w:szCs w:val="28"/>
        </w:rPr>
        <w:t xml:space="preserve"> shows m</w:t>
      </w:r>
      <w:r w:rsidR="001569EF" w:rsidRPr="006319C6">
        <w:rPr>
          <w:rStyle w:val="FootnoteTextChar3"/>
          <w:rFonts w:ascii="Bookman Old Style" w:hAnsi="Bookman Old Style"/>
          <w:sz w:val="28"/>
          <w:szCs w:val="28"/>
        </w:rPr>
        <w:t xml:space="preserve">unicipalities in Croatia and Bosnia and </w:t>
      </w:r>
      <w:proofErr w:type="spellStart"/>
      <w:r w:rsidR="001569EF" w:rsidRPr="006319C6">
        <w:rPr>
          <w:rStyle w:val="FootnoteTextChar3"/>
          <w:rFonts w:ascii="Bookman Old Style" w:hAnsi="Bookman Old Style"/>
          <w:sz w:val="28"/>
          <w:szCs w:val="28"/>
        </w:rPr>
        <w:t>Herzogovina</w:t>
      </w:r>
      <w:proofErr w:type="spellEnd"/>
      <w:r w:rsidRPr="006319C6">
        <w:rPr>
          <w:rStyle w:val="FootnoteTextChar3"/>
          <w:rFonts w:ascii="Bookman Old Style" w:hAnsi="Bookman Old Style"/>
          <w:sz w:val="28"/>
          <w:szCs w:val="28"/>
        </w:rPr>
        <w:t xml:space="preserve"> where the Serb population voted to stay in a Yugoslavia. These territories formed the basis of Serbia’s attempt to secure these terri</w:t>
      </w:r>
      <w:r w:rsidR="00F90108" w:rsidRPr="006319C6">
        <w:rPr>
          <w:rStyle w:val="FootnoteTextChar3"/>
          <w:rFonts w:ascii="Bookman Old Style" w:hAnsi="Bookman Old Style"/>
          <w:sz w:val="28"/>
          <w:szCs w:val="28"/>
        </w:rPr>
        <w:t>tories and add them to the new S</w:t>
      </w:r>
      <w:r w:rsidRPr="006319C6">
        <w:rPr>
          <w:rStyle w:val="FootnoteTextChar3"/>
          <w:rFonts w:ascii="Bookman Old Style" w:hAnsi="Bookman Old Style"/>
          <w:sz w:val="28"/>
          <w:szCs w:val="28"/>
        </w:rPr>
        <w:t>tate that was formed in 1992 by Serbia and Montenegro and called</w:t>
      </w:r>
      <w:r w:rsidR="00F90108" w:rsidRPr="006319C6">
        <w:rPr>
          <w:rStyle w:val="FootnoteTextChar3"/>
          <w:rFonts w:ascii="Bookman Old Style" w:hAnsi="Bookman Old Style"/>
          <w:sz w:val="28"/>
          <w:szCs w:val="28"/>
        </w:rPr>
        <w:t xml:space="preserve"> the</w:t>
      </w:r>
      <w:r w:rsidRPr="006319C6">
        <w:rPr>
          <w:rStyle w:val="FootnoteTextChar3"/>
          <w:rFonts w:ascii="Bookman Old Style" w:hAnsi="Bookman Old Style"/>
          <w:sz w:val="28"/>
          <w:szCs w:val="28"/>
        </w:rPr>
        <w:t xml:space="preserve"> Federal Republic of Yugoslavia (1992-2003).</w:t>
      </w:r>
      <w:r w:rsidRPr="006319C6">
        <w:rPr>
          <w:rFonts w:ascii="Bookman Old Style" w:hAnsi="Bookman Old Style"/>
          <w:color w:val="141414"/>
          <w:sz w:val="28"/>
          <w:szCs w:val="28"/>
          <w:highlight w:val="cyan"/>
          <w:lang w:val="hr-HR"/>
        </w:rPr>
        <w:t xml:space="preserve"> </w:t>
      </w:r>
    </w:p>
    <w:p w14:paraId="4AD2DBCC" w14:textId="79B341EA" w:rsidR="003A6EE6" w:rsidRPr="006319C6" w:rsidRDefault="003402BD" w:rsidP="003A6EE6">
      <w:pPr>
        <w:widowControl w:val="0"/>
        <w:autoSpaceDE w:val="0"/>
        <w:autoSpaceDN w:val="0"/>
        <w:adjustRightInd w:val="0"/>
        <w:jc w:val="both"/>
        <w:rPr>
          <w:rFonts w:ascii="Bookman Old Style" w:hAnsi="Bookman Old Style" w:cs="Times New Roman"/>
          <w:color w:val="000000"/>
          <w:sz w:val="28"/>
          <w:szCs w:val="28"/>
          <w:lang w:val="nl-NL"/>
        </w:rPr>
      </w:pPr>
      <w:r w:rsidRPr="006319C6">
        <w:rPr>
          <w:rFonts w:ascii="Bookman Old Style" w:hAnsi="Bookman Old Style" w:cs="Times New Roman"/>
          <w:sz w:val="28"/>
          <w:szCs w:val="28"/>
          <w:lang w:val="hr-HR"/>
        </w:rPr>
        <w:tab/>
        <w:t xml:space="preserve"> </w:t>
      </w:r>
    </w:p>
    <w:p w14:paraId="3C1BCDB1" w14:textId="77777777" w:rsidR="003A6EE6" w:rsidRPr="006319C6" w:rsidRDefault="003A6EE6" w:rsidP="003A6EE6">
      <w:pPr>
        <w:widowControl w:val="0"/>
        <w:autoSpaceDE w:val="0"/>
        <w:autoSpaceDN w:val="0"/>
        <w:adjustRightInd w:val="0"/>
        <w:jc w:val="both"/>
        <w:rPr>
          <w:rFonts w:ascii="Bookman Old Style" w:hAnsi="Bookman Old Style" w:cs="Times New Roman"/>
          <w:color w:val="000000"/>
          <w:sz w:val="28"/>
          <w:szCs w:val="28"/>
          <w:lang w:val="nl-NL"/>
        </w:rPr>
      </w:pPr>
    </w:p>
    <w:p w14:paraId="5E2E5D78" w14:textId="20AEFA6E" w:rsidR="00C80E96" w:rsidRPr="006319C6" w:rsidRDefault="009E1765" w:rsidP="003A6EE6">
      <w:pPr>
        <w:widowControl w:val="0"/>
        <w:autoSpaceDE w:val="0"/>
        <w:autoSpaceDN w:val="0"/>
        <w:adjustRightInd w:val="0"/>
        <w:jc w:val="center"/>
        <w:rPr>
          <w:rFonts w:ascii="Bookman Old Style" w:hAnsi="Bookman Old Style" w:cs="Times New Roman"/>
          <w:color w:val="000000"/>
          <w:sz w:val="28"/>
          <w:szCs w:val="28"/>
          <w:lang w:val="nl-NL"/>
        </w:rPr>
      </w:pPr>
      <w:r w:rsidRPr="006319C6">
        <w:rPr>
          <w:rFonts w:ascii="Bookman Old Style" w:hAnsi="Bookman Old Style" w:cs="Times New Roman"/>
          <w:sz w:val="28"/>
          <w:szCs w:val="28"/>
        </w:rPr>
        <w:t>L</w:t>
      </w:r>
      <w:r w:rsidRPr="006319C6">
        <w:rPr>
          <w:rFonts w:ascii="Bookman Old Style" w:eastAsia="Times New Roman" w:hAnsi="Bookman Old Style" w:cs="Times New Roman"/>
          <w:iCs/>
          <w:color w:val="000000"/>
          <w:sz w:val="28"/>
          <w:szCs w:val="28"/>
          <w:lang w:eastAsia="en-GB"/>
        </w:rPr>
        <w:t>IMITATIONS OF LEGAL FORM TO PRODUCE COMPREHENSIVE HISTORICAL NARRATIVE</w:t>
      </w:r>
    </w:p>
    <w:p w14:paraId="0B503A29" w14:textId="77777777" w:rsidR="00A9165D" w:rsidRPr="006319C6" w:rsidRDefault="00A9165D" w:rsidP="00A9165D">
      <w:pPr>
        <w:ind w:left="720"/>
        <w:jc w:val="both"/>
        <w:rPr>
          <w:rFonts w:ascii="Bookman Old Style" w:hAnsi="Bookman Old Style" w:cs="Times New Roman"/>
          <w:i/>
          <w:sz w:val="28"/>
          <w:szCs w:val="28"/>
          <w:lang w:val="nl-NL"/>
        </w:rPr>
      </w:pPr>
    </w:p>
    <w:p w14:paraId="33C4B9C8" w14:textId="7A7F9AC0" w:rsidR="00C80E96" w:rsidRPr="006319C6" w:rsidRDefault="00C80E96" w:rsidP="00D435DA">
      <w:pPr>
        <w:pStyle w:val="Paragraph"/>
        <w:spacing w:before="0" w:after="0" w:line="240" w:lineRule="auto"/>
        <w:rPr>
          <w:rFonts w:ascii="Bookman Old Style" w:hAnsi="Bookman Old Style"/>
          <w:b/>
          <w:iCs/>
          <w:color w:val="000000"/>
          <w:sz w:val="28"/>
          <w:szCs w:val="28"/>
          <w:lang w:eastAsia="en-GB"/>
        </w:rPr>
      </w:pPr>
      <w:r w:rsidRPr="006319C6">
        <w:rPr>
          <w:rFonts w:ascii="Bookman Old Style" w:hAnsi="Bookman Old Style"/>
          <w:b/>
          <w:iCs/>
          <w:color w:val="000000"/>
          <w:sz w:val="28"/>
          <w:szCs w:val="28"/>
          <w:lang w:eastAsia="en-GB"/>
        </w:rPr>
        <w:t>Prosecutorial Discretion in Deciding Whom to Prosecute, For Which Crimes and on Which Legal Theory</w:t>
      </w:r>
    </w:p>
    <w:p w14:paraId="0C60A2D3" w14:textId="77777777" w:rsidR="003A6EE6" w:rsidRPr="006319C6" w:rsidRDefault="003A6EE6" w:rsidP="00A9165D">
      <w:pPr>
        <w:pStyle w:val="Paragraph"/>
        <w:spacing w:before="0" w:after="0" w:line="240" w:lineRule="auto"/>
        <w:ind w:left="720"/>
        <w:rPr>
          <w:rFonts w:ascii="Bookman Old Style" w:hAnsi="Bookman Old Style"/>
          <w:b/>
          <w:sz w:val="28"/>
          <w:szCs w:val="28"/>
        </w:rPr>
      </w:pPr>
    </w:p>
    <w:p w14:paraId="73CA003C" w14:textId="77777777" w:rsidR="009E1765" w:rsidRPr="006319C6" w:rsidRDefault="00C80E96" w:rsidP="00A9165D">
      <w:pPr>
        <w:pStyle w:val="Paragraph"/>
        <w:spacing w:before="0" w:after="0" w:line="240" w:lineRule="auto"/>
        <w:rPr>
          <w:rFonts w:ascii="Bookman Old Style" w:hAnsi="Bookman Old Style"/>
          <w:sz w:val="28"/>
          <w:szCs w:val="28"/>
          <w:lang w:val="en-GB" w:eastAsia="it-IT"/>
        </w:rPr>
      </w:pPr>
      <w:r w:rsidRPr="006319C6">
        <w:rPr>
          <w:rFonts w:ascii="Bookman Old Style" w:hAnsi="Bookman Old Style"/>
          <w:sz w:val="28"/>
          <w:szCs w:val="28"/>
          <w:lang w:val="en-GB" w:eastAsia="it-IT"/>
        </w:rPr>
        <w:lastRenderedPageBreak/>
        <w:tab/>
        <w:t>In some cases, an indictment and subsequent trial can lead t</w:t>
      </w:r>
      <w:r w:rsidR="00832C8D" w:rsidRPr="006319C6">
        <w:rPr>
          <w:rFonts w:ascii="Bookman Old Style" w:hAnsi="Bookman Old Style"/>
          <w:sz w:val="28"/>
          <w:szCs w:val="28"/>
          <w:lang w:val="en-GB" w:eastAsia="it-IT"/>
        </w:rPr>
        <w:t>o what could be termed</w:t>
      </w:r>
      <w:r w:rsidRPr="006319C6">
        <w:rPr>
          <w:rFonts w:ascii="Bookman Old Style" w:hAnsi="Bookman Old Style"/>
          <w:sz w:val="28"/>
          <w:szCs w:val="28"/>
          <w:lang w:val="en-GB" w:eastAsia="it-IT"/>
        </w:rPr>
        <w:t xml:space="preserve"> </w:t>
      </w:r>
      <w:r w:rsidR="008B071A" w:rsidRPr="006319C6">
        <w:rPr>
          <w:rFonts w:ascii="Bookman Old Style" w:hAnsi="Bookman Old Style"/>
          <w:sz w:val="28"/>
          <w:szCs w:val="28"/>
          <w:lang w:val="en-GB" w:eastAsia="it-IT"/>
        </w:rPr>
        <w:t xml:space="preserve">either </w:t>
      </w:r>
      <w:r w:rsidR="00806E59" w:rsidRPr="006319C6">
        <w:rPr>
          <w:rFonts w:ascii="Bookman Old Style" w:hAnsi="Bookman Old Style"/>
          <w:sz w:val="28"/>
          <w:szCs w:val="28"/>
          <w:lang w:val="en-GB" w:eastAsia="it-IT"/>
        </w:rPr>
        <w:t>“</w:t>
      </w:r>
      <w:r w:rsidRPr="006319C6">
        <w:rPr>
          <w:rFonts w:ascii="Bookman Old Style" w:hAnsi="Bookman Old Style"/>
          <w:sz w:val="28"/>
          <w:szCs w:val="28"/>
          <w:lang w:val="en-GB" w:eastAsia="it-IT"/>
        </w:rPr>
        <w:t>under-prosecution</w:t>
      </w:r>
      <w:r w:rsidR="00806E59" w:rsidRPr="006319C6">
        <w:rPr>
          <w:rFonts w:ascii="Bookman Old Style" w:hAnsi="Bookman Old Style"/>
          <w:sz w:val="28"/>
          <w:szCs w:val="28"/>
          <w:lang w:val="en-GB" w:eastAsia="it-IT"/>
        </w:rPr>
        <w:t>”</w:t>
      </w:r>
      <w:r w:rsidRPr="006319C6">
        <w:rPr>
          <w:rFonts w:ascii="Bookman Old Style" w:hAnsi="Bookman Old Style"/>
          <w:sz w:val="28"/>
          <w:szCs w:val="28"/>
          <w:lang w:val="en-GB" w:eastAsia="it-IT"/>
        </w:rPr>
        <w:t xml:space="preserve"> </w:t>
      </w:r>
      <w:r w:rsidR="00832C8D" w:rsidRPr="006319C6">
        <w:rPr>
          <w:rFonts w:ascii="Bookman Old Style" w:hAnsi="Bookman Old Style"/>
          <w:sz w:val="28"/>
          <w:szCs w:val="28"/>
          <w:lang w:val="en-GB" w:eastAsia="it-IT"/>
        </w:rPr>
        <w:t xml:space="preserve">or </w:t>
      </w:r>
      <w:r w:rsidR="00806E59" w:rsidRPr="006319C6">
        <w:rPr>
          <w:rFonts w:ascii="Bookman Old Style" w:hAnsi="Bookman Old Style"/>
          <w:sz w:val="28"/>
          <w:szCs w:val="28"/>
          <w:lang w:val="en-GB" w:eastAsia="it-IT"/>
        </w:rPr>
        <w:t>“</w:t>
      </w:r>
      <w:r w:rsidR="00832C8D" w:rsidRPr="006319C6">
        <w:rPr>
          <w:rFonts w:ascii="Bookman Old Style" w:hAnsi="Bookman Old Style"/>
          <w:sz w:val="28"/>
          <w:szCs w:val="28"/>
          <w:lang w:val="en-GB" w:eastAsia="it-IT"/>
        </w:rPr>
        <w:t>over-prosecution</w:t>
      </w:r>
      <w:r w:rsidR="00806E59" w:rsidRPr="006319C6">
        <w:rPr>
          <w:rFonts w:ascii="Bookman Old Style" w:hAnsi="Bookman Old Style"/>
          <w:sz w:val="28"/>
          <w:szCs w:val="28"/>
          <w:lang w:val="en-GB" w:eastAsia="it-IT"/>
        </w:rPr>
        <w:t>”</w:t>
      </w:r>
      <w:r w:rsidR="00832C8D" w:rsidRPr="006319C6">
        <w:rPr>
          <w:rFonts w:ascii="Bookman Old Style" w:hAnsi="Bookman Old Style"/>
          <w:sz w:val="28"/>
          <w:szCs w:val="28"/>
          <w:lang w:val="en-GB" w:eastAsia="it-IT"/>
        </w:rPr>
        <w:t xml:space="preserve"> if</w:t>
      </w:r>
      <w:r w:rsidRPr="006319C6">
        <w:rPr>
          <w:rFonts w:ascii="Bookman Old Style" w:hAnsi="Bookman Old Style"/>
          <w:sz w:val="28"/>
          <w:szCs w:val="28"/>
          <w:lang w:val="en-GB" w:eastAsia="it-IT"/>
        </w:rPr>
        <w:t xml:space="preserve"> the defendant faces an indictment </w:t>
      </w:r>
      <w:r w:rsidR="003A6EE6" w:rsidRPr="006319C6">
        <w:rPr>
          <w:rFonts w:ascii="Bookman Old Style" w:hAnsi="Bookman Old Style"/>
          <w:sz w:val="28"/>
          <w:szCs w:val="28"/>
          <w:lang w:val="en-GB" w:eastAsia="it-IT"/>
        </w:rPr>
        <w:t xml:space="preserve">that is </w:t>
      </w:r>
      <w:r w:rsidRPr="006319C6">
        <w:rPr>
          <w:rFonts w:ascii="Bookman Old Style" w:hAnsi="Bookman Old Style"/>
          <w:sz w:val="28"/>
          <w:szCs w:val="28"/>
          <w:lang w:val="en-GB" w:eastAsia="it-IT"/>
        </w:rPr>
        <w:t xml:space="preserve">too narrow </w:t>
      </w:r>
      <w:r w:rsidR="00832C8D" w:rsidRPr="006319C6">
        <w:rPr>
          <w:rFonts w:ascii="Bookman Old Style" w:hAnsi="Bookman Old Style"/>
          <w:sz w:val="28"/>
          <w:szCs w:val="28"/>
          <w:lang w:val="en-GB" w:eastAsia="it-IT"/>
        </w:rPr>
        <w:t xml:space="preserve">or too broad </w:t>
      </w:r>
      <w:r w:rsidRPr="006319C6">
        <w:rPr>
          <w:rFonts w:ascii="Bookman Old Style" w:hAnsi="Bookman Old Style"/>
          <w:sz w:val="28"/>
          <w:szCs w:val="28"/>
          <w:lang w:val="en-GB" w:eastAsia="it-IT"/>
        </w:rPr>
        <w:t>in temporal</w:t>
      </w:r>
      <w:r w:rsidR="008E0431" w:rsidRPr="006319C6">
        <w:rPr>
          <w:rFonts w:ascii="Bookman Old Style" w:hAnsi="Bookman Old Style"/>
          <w:sz w:val="28"/>
          <w:szCs w:val="28"/>
          <w:lang w:val="en-GB" w:eastAsia="it-IT"/>
        </w:rPr>
        <w:t xml:space="preserve"> or</w:t>
      </w:r>
      <w:r w:rsidRPr="006319C6">
        <w:rPr>
          <w:rFonts w:ascii="Bookman Old Style" w:hAnsi="Bookman Old Style"/>
          <w:sz w:val="28"/>
          <w:szCs w:val="28"/>
          <w:lang w:val="en-GB" w:eastAsia="it-IT"/>
        </w:rPr>
        <w:t xml:space="preserve"> geographical </w:t>
      </w:r>
      <w:r w:rsidR="004211A3" w:rsidRPr="006319C6">
        <w:rPr>
          <w:rFonts w:ascii="Bookman Old Style" w:hAnsi="Bookman Old Style"/>
          <w:sz w:val="28"/>
          <w:szCs w:val="28"/>
          <w:lang w:val="en-GB" w:eastAsia="it-IT"/>
        </w:rPr>
        <w:t xml:space="preserve">scope </w:t>
      </w:r>
      <w:r w:rsidRPr="006319C6">
        <w:rPr>
          <w:rFonts w:ascii="Bookman Old Style" w:hAnsi="Bookman Old Style"/>
          <w:sz w:val="28"/>
          <w:szCs w:val="28"/>
          <w:lang w:val="en-GB" w:eastAsia="it-IT"/>
        </w:rPr>
        <w:t xml:space="preserve">or gravity </w:t>
      </w:r>
      <w:r w:rsidR="008B071A" w:rsidRPr="006319C6">
        <w:rPr>
          <w:rFonts w:ascii="Bookman Old Style" w:hAnsi="Bookman Old Style"/>
          <w:sz w:val="28"/>
          <w:szCs w:val="28"/>
          <w:lang w:val="en-GB" w:eastAsia="it-IT"/>
        </w:rPr>
        <w:t>when compared with what really happened</w:t>
      </w:r>
      <w:r w:rsidRPr="006319C6">
        <w:rPr>
          <w:rFonts w:ascii="Bookman Old Style" w:hAnsi="Bookman Old Style"/>
          <w:sz w:val="28"/>
          <w:szCs w:val="28"/>
          <w:lang w:val="en-GB" w:eastAsia="it-IT"/>
        </w:rPr>
        <w:t xml:space="preserve">. </w:t>
      </w:r>
      <w:r w:rsidR="009257DA" w:rsidRPr="006319C6">
        <w:rPr>
          <w:rFonts w:ascii="Bookman Old Style" w:hAnsi="Bookman Old Style"/>
          <w:sz w:val="28"/>
          <w:szCs w:val="28"/>
          <w:lang w:val="en-GB" w:eastAsia="it-IT"/>
        </w:rPr>
        <w:t>Where t</w:t>
      </w:r>
      <w:r w:rsidRPr="006319C6">
        <w:rPr>
          <w:rFonts w:ascii="Bookman Old Style" w:hAnsi="Bookman Old Style"/>
          <w:sz w:val="28"/>
          <w:szCs w:val="28"/>
          <w:lang w:val="en-GB" w:eastAsia="it-IT"/>
        </w:rPr>
        <w:t>he prosecution</w:t>
      </w:r>
      <w:r w:rsidR="009257DA" w:rsidRPr="006319C6">
        <w:rPr>
          <w:rFonts w:ascii="Bookman Old Style" w:hAnsi="Bookman Old Style"/>
          <w:sz w:val="28"/>
          <w:szCs w:val="28"/>
          <w:lang w:val="en-GB" w:eastAsia="it-IT"/>
        </w:rPr>
        <w:t>, for whatever reason,</w:t>
      </w:r>
      <w:r w:rsidRPr="006319C6">
        <w:rPr>
          <w:rFonts w:ascii="Bookman Old Style" w:hAnsi="Bookman Old Style"/>
          <w:sz w:val="28"/>
          <w:szCs w:val="28"/>
          <w:lang w:val="en-GB" w:eastAsia="it-IT"/>
        </w:rPr>
        <w:t xml:space="preserve"> </w:t>
      </w:r>
      <w:r w:rsidR="00806E59" w:rsidRPr="006319C6">
        <w:rPr>
          <w:rFonts w:ascii="Bookman Old Style" w:hAnsi="Bookman Old Style"/>
          <w:sz w:val="28"/>
          <w:szCs w:val="28"/>
          <w:lang w:val="en-GB" w:eastAsia="it-IT"/>
        </w:rPr>
        <w:t>“</w:t>
      </w:r>
      <w:r w:rsidRPr="006319C6">
        <w:rPr>
          <w:rFonts w:ascii="Bookman Old Style" w:hAnsi="Bookman Old Style"/>
          <w:sz w:val="28"/>
          <w:szCs w:val="28"/>
          <w:lang w:val="en-GB" w:eastAsia="it-IT"/>
        </w:rPr>
        <w:t>under prosecut</w:t>
      </w:r>
      <w:r w:rsidR="009257DA" w:rsidRPr="006319C6">
        <w:rPr>
          <w:rFonts w:ascii="Bookman Old Style" w:hAnsi="Bookman Old Style"/>
          <w:sz w:val="28"/>
          <w:szCs w:val="28"/>
          <w:lang w:val="en-GB" w:eastAsia="it-IT"/>
        </w:rPr>
        <w:t>es</w:t>
      </w:r>
      <w:r w:rsidR="00806E59" w:rsidRPr="006319C6">
        <w:rPr>
          <w:rFonts w:ascii="Bookman Old Style" w:hAnsi="Bookman Old Style"/>
          <w:sz w:val="28"/>
          <w:szCs w:val="28"/>
          <w:lang w:val="en-GB" w:eastAsia="it-IT"/>
        </w:rPr>
        <w:t>”</w:t>
      </w:r>
      <w:r w:rsidRPr="006319C6">
        <w:rPr>
          <w:rStyle w:val="FootnoteReference"/>
          <w:rFonts w:ascii="Bookman Old Style" w:hAnsi="Bookman Old Style"/>
          <w:sz w:val="28"/>
          <w:szCs w:val="28"/>
          <w:lang w:val="en-GB" w:eastAsia="it-IT"/>
        </w:rPr>
        <w:footnoteReference w:id="49"/>
      </w:r>
      <w:r w:rsidRPr="006319C6">
        <w:rPr>
          <w:rFonts w:ascii="Bookman Old Style" w:hAnsi="Bookman Old Style"/>
          <w:sz w:val="28"/>
          <w:szCs w:val="28"/>
          <w:lang w:val="en-GB" w:eastAsia="it-IT"/>
        </w:rPr>
        <w:t xml:space="preserve"> or </w:t>
      </w:r>
      <w:r w:rsidR="00806E59" w:rsidRPr="006319C6">
        <w:rPr>
          <w:rFonts w:ascii="Bookman Old Style" w:hAnsi="Bookman Old Style"/>
          <w:sz w:val="28"/>
          <w:szCs w:val="28"/>
          <w:lang w:val="en-GB" w:eastAsia="it-IT"/>
        </w:rPr>
        <w:t>“</w:t>
      </w:r>
      <w:r w:rsidRPr="006319C6">
        <w:rPr>
          <w:rFonts w:ascii="Bookman Old Style" w:hAnsi="Bookman Old Style"/>
          <w:sz w:val="28"/>
          <w:szCs w:val="28"/>
          <w:lang w:val="en-GB" w:eastAsia="it-IT"/>
        </w:rPr>
        <w:t>over prosecut</w:t>
      </w:r>
      <w:r w:rsidR="009257DA" w:rsidRPr="006319C6">
        <w:rPr>
          <w:rFonts w:ascii="Bookman Old Style" w:hAnsi="Bookman Old Style"/>
          <w:sz w:val="28"/>
          <w:szCs w:val="28"/>
          <w:lang w:val="en-GB" w:eastAsia="it-IT"/>
        </w:rPr>
        <w:t>es</w:t>
      </w:r>
      <w:r w:rsidR="00806E59" w:rsidRPr="006319C6">
        <w:rPr>
          <w:rFonts w:ascii="Bookman Old Style" w:hAnsi="Bookman Old Style"/>
          <w:sz w:val="28"/>
          <w:szCs w:val="28"/>
          <w:lang w:val="en-GB" w:eastAsia="it-IT"/>
        </w:rPr>
        <w:t>”</w:t>
      </w:r>
      <w:r w:rsidR="001D148E" w:rsidRPr="006319C6">
        <w:rPr>
          <w:rFonts w:ascii="Bookman Old Style" w:hAnsi="Bookman Old Style"/>
          <w:sz w:val="28"/>
          <w:szCs w:val="28"/>
          <w:lang w:val="en-GB" w:eastAsia="it-IT"/>
        </w:rPr>
        <w:t>,</w:t>
      </w:r>
      <w:r w:rsidRPr="006319C6">
        <w:rPr>
          <w:rStyle w:val="FootnoteReference"/>
          <w:rFonts w:ascii="Bookman Old Style" w:hAnsi="Bookman Old Style"/>
          <w:sz w:val="28"/>
          <w:szCs w:val="28"/>
          <w:lang w:val="en-GB" w:eastAsia="it-IT"/>
        </w:rPr>
        <w:footnoteReference w:id="50"/>
      </w:r>
      <w:r w:rsidR="001D148E" w:rsidRPr="006319C6">
        <w:rPr>
          <w:rFonts w:ascii="Bookman Old Style" w:hAnsi="Bookman Old Style"/>
          <w:sz w:val="28"/>
          <w:szCs w:val="28"/>
          <w:lang w:val="en-GB" w:eastAsia="it-IT"/>
        </w:rPr>
        <w:t xml:space="preserve"> the S</w:t>
      </w:r>
      <w:r w:rsidRPr="006319C6">
        <w:rPr>
          <w:rFonts w:ascii="Bookman Old Style" w:hAnsi="Bookman Old Style"/>
          <w:sz w:val="28"/>
          <w:szCs w:val="28"/>
          <w:lang w:val="en-GB" w:eastAsia="it-IT"/>
        </w:rPr>
        <w:t>tate and all those re</w:t>
      </w:r>
      <w:r w:rsidR="008E0431" w:rsidRPr="006319C6">
        <w:rPr>
          <w:rFonts w:ascii="Bookman Old Style" w:hAnsi="Bookman Old Style"/>
          <w:sz w:val="28"/>
          <w:szCs w:val="28"/>
          <w:lang w:val="en-GB" w:eastAsia="it-IT"/>
        </w:rPr>
        <w:t>s</w:t>
      </w:r>
      <w:r w:rsidRPr="006319C6">
        <w:rPr>
          <w:rFonts w:ascii="Bookman Old Style" w:hAnsi="Bookman Old Style"/>
          <w:sz w:val="28"/>
          <w:szCs w:val="28"/>
          <w:lang w:val="en-GB" w:eastAsia="it-IT"/>
        </w:rPr>
        <w:t>po</w:t>
      </w:r>
      <w:r w:rsidR="001D148E" w:rsidRPr="006319C6">
        <w:rPr>
          <w:rFonts w:ascii="Bookman Old Style" w:hAnsi="Bookman Old Style"/>
          <w:sz w:val="28"/>
          <w:szCs w:val="28"/>
          <w:lang w:val="en-GB" w:eastAsia="it-IT"/>
        </w:rPr>
        <w:t>nsible in the apparatus of the S</w:t>
      </w:r>
      <w:r w:rsidRPr="006319C6">
        <w:rPr>
          <w:rFonts w:ascii="Bookman Old Style" w:hAnsi="Bookman Old Style"/>
          <w:sz w:val="28"/>
          <w:szCs w:val="28"/>
          <w:lang w:val="en-GB" w:eastAsia="it-IT"/>
        </w:rPr>
        <w:t xml:space="preserve">tate </w:t>
      </w:r>
      <w:r w:rsidR="00972136" w:rsidRPr="006319C6">
        <w:rPr>
          <w:rFonts w:ascii="Bookman Old Style" w:hAnsi="Bookman Old Style"/>
          <w:sz w:val="28"/>
          <w:szCs w:val="28"/>
          <w:lang w:val="en-GB" w:eastAsia="it-IT"/>
        </w:rPr>
        <w:t xml:space="preserve">may </w:t>
      </w:r>
      <w:r w:rsidRPr="006319C6">
        <w:rPr>
          <w:rFonts w:ascii="Bookman Old Style" w:hAnsi="Bookman Old Style"/>
          <w:sz w:val="28"/>
          <w:szCs w:val="28"/>
          <w:lang w:val="en-GB" w:eastAsia="it-IT"/>
        </w:rPr>
        <w:t>escape altogether</w:t>
      </w:r>
      <w:r w:rsidR="008E0431" w:rsidRPr="006319C6">
        <w:rPr>
          <w:rFonts w:ascii="Bookman Old Style" w:hAnsi="Bookman Old Style"/>
          <w:sz w:val="28"/>
          <w:szCs w:val="28"/>
          <w:lang w:val="en-GB" w:eastAsia="it-IT"/>
        </w:rPr>
        <w:t xml:space="preserve">, especially </w:t>
      </w:r>
      <w:r w:rsidR="009257DA" w:rsidRPr="006319C6">
        <w:rPr>
          <w:rFonts w:ascii="Bookman Old Style" w:hAnsi="Bookman Old Style"/>
          <w:sz w:val="28"/>
          <w:szCs w:val="28"/>
          <w:lang w:val="en-GB" w:eastAsia="it-IT"/>
        </w:rPr>
        <w:t>if</w:t>
      </w:r>
      <w:r w:rsidR="008E0431" w:rsidRPr="006319C6">
        <w:rPr>
          <w:rFonts w:ascii="Bookman Old Style" w:hAnsi="Bookman Old Style"/>
          <w:sz w:val="28"/>
          <w:szCs w:val="28"/>
          <w:lang w:val="en-GB" w:eastAsia="it-IT"/>
        </w:rPr>
        <w:t xml:space="preserve"> one individual is </w:t>
      </w:r>
      <w:r w:rsidR="00806E59" w:rsidRPr="006319C6">
        <w:rPr>
          <w:rFonts w:ascii="Bookman Old Style" w:hAnsi="Bookman Old Style"/>
          <w:sz w:val="28"/>
          <w:szCs w:val="28"/>
          <w:lang w:val="en-GB" w:eastAsia="it-IT"/>
        </w:rPr>
        <w:t>“</w:t>
      </w:r>
      <w:r w:rsidR="008E0431" w:rsidRPr="006319C6">
        <w:rPr>
          <w:rFonts w:ascii="Bookman Old Style" w:hAnsi="Bookman Old Style"/>
          <w:sz w:val="28"/>
          <w:szCs w:val="28"/>
          <w:lang w:val="en-GB" w:eastAsia="it-IT"/>
        </w:rPr>
        <w:t>over-prosecuted</w:t>
      </w:r>
      <w:r w:rsidR="00806E59" w:rsidRPr="006319C6">
        <w:rPr>
          <w:rFonts w:ascii="Bookman Old Style" w:hAnsi="Bookman Old Style"/>
          <w:sz w:val="28"/>
          <w:szCs w:val="28"/>
          <w:lang w:val="en-GB" w:eastAsia="it-IT"/>
        </w:rPr>
        <w:t>”</w:t>
      </w:r>
      <w:r w:rsidR="001447E4" w:rsidRPr="006319C6">
        <w:rPr>
          <w:rFonts w:ascii="Bookman Old Style" w:hAnsi="Bookman Old Style"/>
          <w:sz w:val="28"/>
          <w:szCs w:val="28"/>
          <w:lang w:val="en-GB" w:eastAsia="it-IT"/>
        </w:rPr>
        <w:t xml:space="preserve"> and </w:t>
      </w:r>
      <w:r w:rsidR="001D148E" w:rsidRPr="006319C6">
        <w:rPr>
          <w:rFonts w:ascii="Bookman Old Style" w:hAnsi="Bookman Old Style"/>
          <w:sz w:val="28"/>
          <w:szCs w:val="28"/>
          <w:lang w:val="en-GB" w:eastAsia="it-IT"/>
        </w:rPr>
        <w:t xml:space="preserve">is </w:t>
      </w:r>
      <w:r w:rsidR="001447E4" w:rsidRPr="006319C6">
        <w:rPr>
          <w:rFonts w:ascii="Bookman Old Style" w:hAnsi="Bookman Old Style"/>
          <w:sz w:val="28"/>
          <w:szCs w:val="28"/>
          <w:lang w:val="en-GB" w:eastAsia="it-IT"/>
        </w:rPr>
        <w:t xml:space="preserve">said </w:t>
      </w:r>
      <w:r w:rsidR="001D148E" w:rsidRPr="006319C6">
        <w:rPr>
          <w:rFonts w:ascii="Bookman Old Style" w:hAnsi="Bookman Old Style"/>
          <w:sz w:val="28"/>
          <w:szCs w:val="28"/>
          <w:lang w:val="en-GB" w:eastAsia="it-IT"/>
        </w:rPr>
        <w:t xml:space="preserve">– </w:t>
      </w:r>
      <w:r w:rsidR="001447E4" w:rsidRPr="006319C6">
        <w:rPr>
          <w:rFonts w:ascii="Bookman Old Style" w:hAnsi="Bookman Old Style"/>
          <w:sz w:val="28"/>
          <w:szCs w:val="28"/>
          <w:lang w:val="en-GB" w:eastAsia="it-IT"/>
        </w:rPr>
        <w:t>with the</w:t>
      </w:r>
      <w:r w:rsidR="008E0431" w:rsidRPr="006319C6">
        <w:rPr>
          <w:rFonts w:ascii="Bookman Old Style" w:hAnsi="Bookman Old Style"/>
          <w:sz w:val="28"/>
          <w:szCs w:val="28"/>
          <w:lang w:val="en-GB" w:eastAsia="it-IT"/>
        </w:rPr>
        <w:t xml:space="preserve"> authority of the prosecution </w:t>
      </w:r>
      <w:r w:rsidR="001D148E" w:rsidRPr="006319C6">
        <w:rPr>
          <w:rFonts w:ascii="Bookman Old Style" w:hAnsi="Bookman Old Style"/>
          <w:sz w:val="28"/>
          <w:szCs w:val="28"/>
          <w:lang w:val="en-GB" w:eastAsia="it-IT"/>
        </w:rPr>
        <w:t>– t</w:t>
      </w:r>
      <w:r w:rsidR="001447E4" w:rsidRPr="006319C6">
        <w:rPr>
          <w:rFonts w:ascii="Bookman Old Style" w:hAnsi="Bookman Old Style"/>
          <w:sz w:val="28"/>
          <w:szCs w:val="28"/>
          <w:lang w:val="en-GB" w:eastAsia="it-IT"/>
        </w:rPr>
        <w:t xml:space="preserve">o </w:t>
      </w:r>
      <w:r w:rsidR="008E0431" w:rsidRPr="006319C6">
        <w:rPr>
          <w:rFonts w:ascii="Bookman Old Style" w:hAnsi="Bookman Old Style"/>
          <w:sz w:val="28"/>
          <w:szCs w:val="28"/>
          <w:lang w:val="en-GB" w:eastAsia="it-IT"/>
        </w:rPr>
        <w:t>have been personally responsible for all that happened</w:t>
      </w:r>
      <w:r w:rsidRPr="006319C6">
        <w:rPr>
          <w:rFonts w:ascii="Bookman Old Style" w:hAnsi="Bookman Old Style"/>
          <w:sz w:val="28"/>
          <w:szCs w:val="28"/>
          <w:lang w:val="en-GB" w:eastAsia="it-IT"/>
        </w:rPr>
        <w:t xml:space="preserve">. </w:t>
      </w:r>
    </w:p>
    <w:p w14:paraId="40A8BFB6" w14:textId="77777777" w:rsidR="009E1765" w:rsidRPr="006319C6" w:rsidRDefault="009E1765" w:rsidP="00A9165D">
      <w:pPr>
        <w:pStyle w:val="Paragraph"/>
        <w:spacing w:before="0" w:after="0" w:line="240" w:lineRule="auto"/>
        <w:rPr>
          <w:rFonts w:ascii="Bookman Old Style" w:hAnsi="Bookman Old Style"/>
          <w:sz w:val="28"/>
          <w:szCs w:val="28"/>
          <w:lang w:val="en-GB" w:eastAsia="it-IT"/>
        </w:rPr>
      </w:pPr>
    </w:p>
    <w:p w14:paraId="24CF7F49" w14:textId="77777777" w:rsidR="009E1765" w:rsidRPr="006319C6" w:rsidRDefault="009E1765" w:rsidP="00A9165D">
      <w:pPr>
        <w:pStyle w:val="Paragraph"/>
        <w:spacing w:before="0" w:after="0" w:line="240" w:lineRule="auto"/>
        <w:rPr>
          <w:rFonts w:ascii="Bookman Old Style" w:hAnsi="Bookman Old Style"/>
          <w:sz w:val="28"/>
          <w:szCs w:val="28"/>
          <w:lang w:val="en-GB" w:eastAsia="it-IT"/>
        </w:rPr>
      </w:pPr>
    </w:p>
    <w:p w14:paraId="4752E903" w14:textId="77777777" w:rsidR="009E1765" w:rsidRPr="006319C6" w:rsidRDefault="009E1765" w:rsidP="00A9165D">
      <w:pPr>
        <w:pStyle w:val="Paragraph"/>
        <w:spacing w:before="0" w:after="0" w:line="240" w:lineRule="auto"/>
        <w:rPr>
          <w:rFonts w:ascii="Bookman Old Style" w:hAnsi="Bookman Old Style"/>
          <w:sz w:val="28"/>
          <w:szCs w:val="28"/>
          <w:lang w:val="en-GB" w:eastAsia="it-IT"/>
        </w:rPr>
      </w:pPr>
    </w:p>
    <w:p w14:paraId="52C1FB98" w14:textId="77777777" w:rsidR="009E1765" w:rsidRPr="006319C6" w:rsidRDefault="009E1765" w:rsidP="00A9165D">
      <w:pPr>
        <w:pStyle w:val="Paragraph"/>
        <w:spacing w:before="0" w:after="0" w:line="240" w:lineRule="auto"/>
        <w:rPr>
          <w:rFonts w:ascii="Bookman Old Style" w:hAnsi="Bookman Old Style"/>
          <w:sz w:val="28"/>
          <w:szCs w:val="28"/>
          <w:lang w:val="en-GB" w:eastAsia="it-IT"/>
        </w:rPr>
      </w:pPr>
    </w:p>
    <w:p w14:paraId="76DDD872" w14:textId="77777777" w:rsidR="009E1765" w:rsidRPr="006319C6" w:rsidRDefault="009E1765" w:rsidP="00A9165D">
      <w:pPr>
        <w:pStyle w:val="Paragraph"/>
        <w:spacing w:before="0" w:after="0" w:line="240" w:lineRule="auto"/>
        <w:rPr>
          <w:rFonts w:ascii="Bookman Old Style" w:hAnsi="Bookman Old Style"/>
          <w:sz w:val="28"/>
          <w:szCs w:val="28"/>
          <w:lang w:val="en-GB" w:eastAsia="it-IT"/>
        </w:rPr>
      </w:pPr>
    </w:p>
    <w:p w14:paraId="37C592A3" w14:textId="77777777" w:rsidR="009E1765" w:rsidRPr="006319C6" w:rsidRDefault="009E1765" w:rsidP="00A9165D">
      <w:pPr>
        <w:pStyle w:val="Paragraph"/>
        <w:spacing w:before="0" w:after="0" w:line="240" w:lineRule="auto"/>
        <w:rPr>
          <w:rFonts w:ascii="Bookman Old Style" w:hAnsi="Bookman Old Style"/>
          <w:sz w:val="28"/>
          <w:szCs w:val="28"/>
          <w:lang w:val="en-GB" w:eastAsia="it-IT"/>
        </w:rPr>
      </w:pPr>
    </w:p>
    <w:p w14:paraId="53FF7E3C" w14:textId="31974F8E" w:rsidR="008E0431" w:rsidRPr="006319C6" w:rsidRDefault="009E1765" w:rsidP="00A9165D">
      <w:pPr>
        <w:pStyle w:val="Paragraph"/>
        <w:spacing w:before="0" w:after="0" w:line="240" w:lineRule="auto"/>
        <w:rPr>
          <w:rFonts w:ascii="Bookman Old Style" w:hAnsi="Bookman Old Style"/>
          <w:sz w:val="28"/>
          <w:szCs w:val="28"/>
          <w:lang w:val="en-GB" w:eastAsia="it-IT"/>
        </w:rPr>
      </w:pPr>
      <w:r w:rsidRPr="006319C6">
        <w:rPr>
          <w:rFonts w:ascii="Bookman Old Style" w:hAnsi="Bookman Old Style"/>
          <w:sz w:val="28"/>
          <w:szCs w:val="28"/>
          <w:lang w:val="en-GB" w:eastAsia="it-IT"/>
        </w:rPr>
        <w:tab/>
      </w:r>
      <w:r w:rsidR="00972136" w:rsidRPr="006319C6">
        <w:rPr>
          <w:rFonts w:ascii="Bookman Old Style" w:hAnsi="Bookman Old Style"/>
          <w:sz w:val="28"/>
          <w:szCs w:val="28"/>
          <w:lang w:val="en-GB" w:eastAsia="it-IT"/>
        </w:rPr>
        <w:t xml:space="preserve">The historical narrative may be corrupted as a result. But </w:t>
      </w:r>
      <w:r w:rsidR="008E0431" w:rsidRPr="006319C6">
        <w:rPr>
          <w:rFonts w:ascii="Bookman Old Style" w:hAnsi="Bookman Old Style"/>
          <w:sz w:val="28"/>
          <w:szCs w:val="28"/>
          <w:lang w:val="en-GB" w:eastAsia="it-IT"/>
        </w:rPr>
        <w:t>i</w:t>
      </w:r>
      <w:r w:rsidR="00C80E96" w:rsidRPr="006319C6">
        <w:rPr>
          <w:rFonts w:ascii="Bookman Old Style" w:hAnsi="Bookman Old Style"/>
          <w:sz w:val="28"/>
          <w:szCs w:val="28"/>
          <w:lang w:val="en-GB" w:eastAsia="it-IT"/>
        </w:rPr>
        <w:t xml:space="preserve">f </w:t>
      </w:r>
      <w:r w:rsidR="008E0431" w:rsidRPr="006319C6">
        <w:rPr>
          <w:rFonts w:ascii="Bookman Old Style" w:hAnsi="Bookman Old Style"/>
          <w:sz w:val="28"/>
          <w:szCs w:val="28"/>
          <w:lang w:val="en-GB" w:eastAsia="it-IT"/>
        </w:rPr>
        <w:t>such a</w:t>
      </w:r>
      <w:r w:rsidR="00C80E96" w:rsidRPr="006319C6">
        <w:rPr>
          <w:rFonts w:ascii="Bookman Old Style" w:hAnsi="Bookman Old Style"/>
          <w:sz w:val="28"/>
          <w:szCs w:val="28"/>
          <w:lang w:val="en-GB" w:eastAsia="it-IT"/>
        </w:rPr>
        <w:t xml:space="preserve"> chosen defendant stands trial </w:t>
      </w:r>
      <w:r w:rsidR="008E0431" w:rsidRPr="006319C6">
        <w:rPr>
          <w:rFonts w:ascii="Bookman Old Style" w:hAnsi="Bookman Old Style"/>
          <w:sz w:val="28"/>
          <w:szCs w:val="28"/>
          <w:lang w:val="en-GB" w:eastAsia="it-IT"/>
        </w:rPr>
        <w:t>only to be a</w:t>
      </w:r>
      <w:r w:rsidR="00C80E96" w:rsidRPr="006319C6">
        <w:rPr>
          <w:rFonts w:ascii="Bookman Old Style" w:hAnsi="Bookman Old Style"/>
          <w:sz w:val="28"/>
          <w:szCs w:val="28"/>
          <w:lang w:val="en-GB" w:eastAsia="it-IT"/>
        </w:rPr>
        <w:t xml:space="preserve">cquitted at its </w:t>
      </w:r>
      <w:proofErr w:type="gramStart"/>
      <w:r w:rsidR="00C80E96" w:rsidRPr="006319C6">
        <w:rPr>
          <w:rFonts w:ascii="Bookman Old Style" w:hAnsi="Bookman Old Style"/>
          <w:sz w:val="28"/>
          <w:szCs w:val="28"/>
          <w:lang w:val="en-GB" w:eastAsia="it-IT"/>
        </w:rPr>
        <w:t>concl</w:t>
      </w:r>
      <w:r w:rsidR="008E0431" w:rsidRPr="006319C6">
        <w:rPr>
          <w:rFonts w:ascii="Bookman Old Style" w:hAnsi="Bookman Old Style"/>
          <w:sz w:val="28"/>
          <w:szCs w:val="28"/>
          <w:lang w:val="en-GB" w:eastAsia="it-IT"/>
        </w:rPr>
        <w:t>u</w:t>
      </w:r>
      <w:r w:rsidR="00C80E96" w:rsidRPr="006319C6">
        <w:rPr>
          <w:rFonts w:ascii="Bookman Old Style" w:hAnsi="Bookman Old Style"/>
          <w:sz w:val="28"/>
          <w:szCs w:val="28"/>
          <w:lang w:val="en-GB" w:eastAsia="it-IT"/>
        </w:rPr>
        <w:t>sion</w:t>
      </w:r>
      <w:r w:rsidR="00364A05" w:rsidRPr="006319C6">
        <w:rPr>
          <w:rFonts w:ascii="Bookman Old Style" w:hAnsi="Bookman Old Style"/>
          <w:sz w:val="28"/>
          <w:szCs w:val="28"/>
          <w:lang w:val="en-GB" w:eastAsia="it-IT"/>
        </w:rPr>
        <w:t>,</w:t>
      </w:r>
      <w:r w:rsidR="00C80E96" w:rsidRPr="006319C6">
        <w:rPr>
          <w:rFonts w:ascii="Bookman Old Style" w:hAnsi="Bookman Old Style"/>
          <w:sz w:val="28"/>
          <w:szCs w:val="28"/>
          <w:lang w:val="en-GB" w:eastAsia="it-IT"/>
        </w:rPr>
        <w:t xml:space="preserve"> that</w:t>
      </w:r>
      <w:proofErr w:type="gramEnd"/>
      <w:r w:rsidR="00C80E96" w:rsidRPr="006319C6">
        <w:rPr>
          <w:rFonts w:ascii="Bookman Old Style" w:hAnsi="Bookman Old Style"/>
          <w:sz w:val="28"/>
          <w:szCs w:val="28"/>
          <w:lang w:val="en-GB" w:eastAsia="it-IT"/>
        </w:rPr>
        <w:t xml:space="preserve"> </w:t>
      </w:r>
      <w:r w:rsidR="008E0431" w:rsidRPr="006319C6">
        <w:rPr>
          <w:rFonts w:ascii="Bookman Old Style" w:hAnsi="Bookman Old Style"/>
          <w:sz w:val="28"/>
          <w:szCs w:val="28"/>
          <w:lang w:val="en-GB" w:eastAsia="it-IT"/>
        </w:rPr>
        <w:t>may</w:t>
      </w:r>
      <w:r w:rsidR="00C80E96" w:rsidRPr="006319C6">
        <w:rPr>
          <w:rFonts w:ascii="Bookman Old Style" w:hAnsi="Bookman Old Style"/>
          <w:sz w:val="28"/>
          <w:szCs w:val="28"/>
          <w:lang w:val="en-GB" w:eastAsia="it-IT"/>
        </w:rPr>
        <w:t xml:space="preserve"> have </w:t>
      </w:r>
      <w:r w:rsidR="008E0431" w:rsidRPr="006319C6">
        <w:rPr>
          <w:rFonts w:ascii="Bookman Old Style" w:hAnsi="Bookman Old Style"/>
          <w:sz w:val="28"/>
          <w:szCs w:val="28"/>
          <w:lang w:val="en-GB" w:eastAsia="it-IT"/>
        </w:rPr>
        <w:t xml:space="preserve">significant </w:t>
      </w:r>
      <w:r w:rsidR="00C80E96" w:rsidRPr="006319C6">
        <w:rPr>
          <w:rFonts w:ascii="Bookman Old Style" w:hAnsi="Bookman Old Style"/>
          <w:sz w:val="28"/>
          <w:szCs w:val="28"/>
          <w:lang w:val="en-GB" w:eastAsia="it-IT"/>
        </w:rPr>
        <w:t xml:space="preserve">impact on the legal and historical narrative. </w:t>
      </w:r>
    </w:p>
    <w:p w14:paraId="1D180ACB" w14:textId="0C2F8401" w:rsidR="00C80E96" w:rsidRPr="006319C6" w:rsidRDefault="006114DB" w:rsidP="00A9165D">
      <w:pPr>
        <w:pStyle w:val="Paragraph"/>
        <w:spacing w:before="0" w:after="0" w:line="240" w:lineRule="auto"/>
        <w:ind w:firstLine="720"/>
        <w:rPr>
          <w:rFonts w:ascii="Bookman Old Style" w:hAnsi="Bookman Old Style"/>
          <w:sz w:val="28"/>
          <w:szCs w:val="28"/>
        </w:rPr>
      </w:pPr>
      <w:r w:rsidRPr="006319C6">
        <w:rPr>
          <w:rFonts w:ascii="Bookman Old Style" w:hAnsi="Bookman Old Style"/>
          <w:sz w:val="28"/>
          <w:szCs w:val="28"/>
        </w:rPr>
        <w:t>The risks of over</w:t>
      </w:r>
      <w:r w:rsidR="007A0FC1" w:rsidRPr="006319C6">
        <w:rPr>
          <w:rFonts w:ascii="Bookman Old Style" w:hAnsi="Bookman Old Style"/>
          <w:sz w:val="28"/>
          <w:szCs w:val="28"/>
        </w:rPr>
        <w:t>- or under-</w:t>
      </w:r>
      <w:r w:rsidRPr="006319C6">
        <w:rPr>
          <w:rFonts w:ascii="Bookman Old Style" w:hAnsi="Bookman Old Style"/>
          <w:sz w:val="28"/>
          <w:szCs w:val="28"/>
        </w:rPr>
        <w:t>prosec</w:t>
      </w:r>
      <w:r w:rsidR="00F13A4A" w:rsidRPr="006319C6">
        <w:rPr>
          <w:rFonts w:ascii="Bookman Old Style" w:hAnsi="Bookman Old Style"/>
          <w:sz w:val="28"/>
          <w:szCs w:val="28"/>
        </w:rPr>
        <w:t>uting are perhaps at their great</w:t>
      </w:r>
      <w:r w:rsidR="007A0FC1" w:rsidRPr="006319C6">
        <w:rPr>
          <w:rFonts w:ascii="Bookman Old Style" w:hAnsi="Bookman Old Style"/>
          <w:sz w:val="28"/>
          <w:szCs w:val="28"/>
        </w:rPr>
        <w:t xml:space="preserve">est </w:t>
      </w:r>
      <w:r w:rsidR="00072264" w:rsidRPr="006319C6">
        <w:rPr>
          <w:rFonts w:ascii="Bookman Old Style" w:hAnsi="Bookman Old Style"/>
          <w:sz w:val="28"/>
          <w:szCs w:val="28"/>
        </w:rPr>
        <w:t xml:space="preserve">in </w:t>
      </w:r>
      <w:r w:rsidRPr="006319C6">
        <w:rPr>
          <w:rFonts w:ascii="Bookman Old Style" w:hAnsi="Bookman Old Style"/>
          <w:sz w:val="28"/>
          <w:szCs w:val="28"/>
        </w:rPr>
        <w:t xml:space="preserve">indictments </w:t>
      </w:r>
      <w:r w:rsidR="00072264" w:rsidRPr="006319C6">
        <w:rPr>
          <w:rFonts w:ascii="Bookman Old Style" w:hAnsi="Bookman Old Style"/>
          <w:sz w:val="28"/>
          <w:szCs w:val="28"/>
        </w:rPr>
        <w:t>charging</w:t>
      </w:r>
      <w:r w:rsidR="00C80E96" w:rsidRPr="006319C6">
        <w:rPr>
          <w:rFonts w:ascii="Bookman Old Style" w:hAnsi="Bookman Old Style"/>
          <w:sz w:val="28"/>
          <w:szCs w:val="28"/>
        </w:rPr>
        <w:t xml:space="preserve"> political and military leaders f</w:t>
      </w:r>
      <w:r w:rsidR="007A0FC1" w:rsidRPr="006319C6">
        <w:rPr>
          <w:rFonts w:ascii="Bookman Old Style" w:hAnsi="Bookman Old Style"/>
          <w:sz w:val="28"/>
          <w:szCs w:val="28"/>
        </w:rPr>
        <w:t>or</w:t>
      </w:r>
      <w:r w:rsidR="00C80E96" w:rsidRPr="006319C6">
        <w:rPr>
          <w:rFonts w:ascii="Bookman Old Style" w:hAnsi="Bookman Old Style"/>
          <w:sz w:val="28"/>
          <w:szCs w:val="28"/>
        </w:rPr>
        <w:t xml:space="preserve"> mass atrocities that took place over a long period of time</w:t>
      </w:r>
      <w:r w:rsidR="00364A05" w:rsidRPr="006319C6">
        <w:rPr>
          <w:rFonts w:ascii="Bookman Old Style" w:hAnsi="Bookman Old Style"/>
          <w:sz w:val="28"/>
          <w:szCs w:val="28"/>
        </w:rPr>
        <w:t>.</w:t>
      </w:r>
      <w:r w:rsidRPr="006319C6">
        <w:rPr>
          <w:rFonts w:ascii="Bookman Old Style" w:hAnsi="Bookman Old Style"/>
          <w:sz w:val="28"/>
          <w:szCs w:val="28"/>
        </w:rPr>
        <w:t xml:space="preserve"> The lawyers have</w:t>
      </w:r>
      <w:r w:rsidR="00C80E96" w:rsidRPr="006319C6">
        <w:rPr>
          <w:rFonts w:ascii="Bookman Old Style" w:hAnsi="Bookman Old Style"/>
          <w:sz w:val="28"/>
          <w:szCs w:val="28"/>
        </w:rPr>
        <w:t xml:space="preserve"> to be careful not to overstate or understate the powers of one single individual as political and military p</w:t>
      </w:r>
      <w:r w:rsidR="00C80E96" w:rsidRPr="006319C6">
        <w:rPr>
          <w:rFonts w:ascii="Bookman Old Style" w:eastAsia="MS ??" w:hAnsi="Bookman Old Style"/>
          <w:sz w:val="28"/>
          <w:szCs w:val="28"/>
        </w:rPr>
        <w:t>lans are usually conceived without a single originator.</w:t>
      </w:r>
      <w:r w:rsidR="00C80E96" w:rsidRPr="006319C6">
        <w:rPr>
          <w:rFonts w:ascii="Bookman Old Style" w:hAnsi="Bookman Old Style"/>
          <w:sz w:val="28"/>
          <w:szCs w:val="28"/>
        </w:rPr>
        <w:t xml:space="preserve"> </w:t>
      </w:r>
      <w:r w:rsidRPr="006319C6">
        <w:rPr>
          <w:rFonts w:ascii="Bookman Old Style" w:hAnsi="Bookman Old Style"/>
          <w:sz w:val="28"/>
          <w:szCs w:val="28"/>
        </w:rPr>
        <w:t xml:space="preserve">Typically they may be formed in cabinets, in war cabinets, during </w:t>
      </w:r>
      <w:r w:rsidR="00972136" w:rsidRPr="006319C6">
        <w:rPr>
          <w:rFonts w:ascii="Bookman Old Style" w:hAnsi="Bookman Old Style"/>
          <w:sz w:val="28"/>
          <w:szCs w:val="28"/>
        </w:rPr>
        <w:t>private conversa</w:t>
      </w:r>
      <w:r w:rsidRPr="006319C6">
        <w:rPr>
          <w:rFonts w:ascii="Bookman Old Style" w:hAnsi="Bookman Old Style"/>
          <w:sz w:val="28"/>
          <w:szCs w:val="28"/>
        </w:rPr>
        <w:t xml:space="preserve">tions between leaders, </w:t>
      </w:r>
      <w:r w:rsidR="00972136" w:rsidRPr="006319C6">
        <w:rPr>
          <w:rFonts w:ascii="Bookman Old Style" w:hAnsi="Bookman Old Style"/>
          <w:sz w:val="28"/>
          <w:szCs w:val="28"/>
        </w:rPr>
        <w:t xml:space="preserve">even </w:t>
      </w:r>
      <w:r w:rsidRPr="006319C6">
        <w:rPr>
          <w:rFonts w:ascii="Bookman Old Style" w:hAnsi="Bookman Old Style"/>
          <w:sz w:val="28"/>
          <w:szCs w:val="28"/>
        </w:rPr>
        <w:t xml:space="preserve">in </w:t>
      </w:r>
      <w:r w:rsidR="00A276F6" w:rsidRPr="006319C6">
        <w:rPr>
          <w:rFonts w:ascii="Bookman Old Style" w:hAnsi="Bookman Old Style"/>
          <w:sz w:val="28"/>
          <w:szCs w:val="28"/>
        </w:rPr>
        <w:t xml:space="preserve">public discussion in the media. Rarely </w:t>
      </w:r>
      <w:r w:rsidRPr="006319C6">
        <w:rPr>
          <w:rFonts w:ascii="Bookman Old Style" w:hAnsi="Bookman Old Style"/>
          <w:sz w:val="28"/>
          <w:szCs w:val="28"/>
        </w:rPr>
        <w:t>does one individual formulate and put int</w:t>
      </w:r>
      <w:r w:rsidR="00A276F6" w:rsidRPr="006319C6">
        <w:rPr>
          <w:rFonts w:ascii="Bookman Old Style" w:hAnsi="Bookman Old Style"/>
          <w:sz w:val="28"/>
          <w:szCs w:val="28"/>
        </w:rPr>
        <w:t>o effect a plan all on his own.</w:t>
      </w:r>
      <w:r w:rsidRPr="006319C6">
        <w:rPr>
          <w:rFonts w:ascii="Bookman Old Style" w:hAnsi="Bookman Old Style"/>
          <w:sz w:val="28"/>
          <w:szCs w:val="28"/>
        </w:rPr>
        <w:t xml:space="preserve"> With this reality in mind</w:t>
      </w:r>
      <w:r w:rsidR="00EF3742" w:rsidRPr="006319C6">
        <w:rPr>
          <w:rFonts w:ascii="Bookman Old Style" w:hAnsi="Bookman Old Style"/>
          <w:sz w:val="28"/>
          <w:szCs w:val="28"/>
        </w:rPr>
        <w:t>,</w:t>
      </w:r>
      <w:r w:rsidRPr="006319C6">
        <w:rPr>
          <w:rFonts w:ascii="Bookman Old Style" w:hAnsi="Bookman Old Style"/>
          <w:sz w:val="28"/>
          <w:szCs w:val="28"/>
        </w:rPr>
        <w:t xml:space="preserve"> t</w:t>
      </w:r>
      <w:r w:rsidR="00C80E96" w:rsidRPr="006319C6">
        <w:rPr>
          <w:rFonts w:ascii="Bookman Old Style" w:hAnsi="Bookman Old Style"/>
          <w:sz w:val="28"/>
          <w:szCs w:val="28"/>
        </w:rPr>
        <w:t xml:space="preserve">he legal doctrine of Joint Criminal Enterprise (JCE) </w:t>
      </w:r>
      <w:r w:rsidRPr="006319C6">
        <w:rPr>
          <w:rFonts w:ascii="Bookman Old Style" w:hAnsi="Bookman Old Style"/>
          <w:sz w:val="28"/>
          <w:szCs w:val="28"/>
        </w:rPr>
        <w:t xml:space="preserve">plays a significant role. </w:t>
      </w:r>
      <w:r w:rsidR="007A0FC1" w:rsidRPr="006319C6">
        <w:rPr>
          <w:rFonts w:ascii="Bookman Old Style" w:hAnsi="Bookman Old Style"/>
          <w:sz w:val="28"/>
          <w:szCs w:val="28"/>
        </w:rPr>
        <w:t>Th</w:t>
      </w:r>
      <w:r w:rsidRPr="006319C6">
        <w:rPr>
          <w:rFonts w:ascii="Bookman Old Style" w:hAnsi="Bookman Old Style"/>
          <w:sz w:val="28"/>
          <w:szCs w:val="28"/>
        </w:rPr>
        <w:t xml:space="preserve">e doctrine </w:t>
      </w:r>
      <w:r w:rsidR="00C80E96" w:rsidRPr="006319C6">
        <w:rPr>
          <w:rFonts w:ascii="Bookman Old Style" w:hAnsi="Bookman Old Style"/>
          <w:sz w:val="28"/>
          <w:szCs w:val="28"/>
        </w:rPr>
        <w:t xml:space="preserve">resembles what is termed a </w:t>
      </w:r>
      <w:r w:rsidR="00806E59" w:rsidRPr="006319C6">
        <w:rPr>
          <w:rFonts w:ascii="Bookman Old Style" w:hAnsi="Bookman Old Style"/>
          <w:sz w:val="28"/>
          <w:szCs w:val="28"/>
        </w:rPr>
        <w:t>“</w:t>
      </w:r>
      <w:r w:rsidR="00C80E96" w:rsidRPr="006319C6">
        <w:rPr>
          <w:rFonts w:ascii="Bookman Old Style" w:hAnsi="Bookman Old Style"/>
          <w:sz w:val="28"/>
          <w:szCs w:val="28"/>
        </w:rPr>
        <w:t>conspiracy</w:t>
      </w:r>
      <w:r w:rsidR="00806E59" w:rsidRPr="006319C6">
        <w:rPr>
          <w:rFonts w:ascii="Bookman Old Style" w:hAnsi="Bookman Old Style"/>
          <w:sz w:val="28"/>
          <w:szCs w:val="28"/>
        </w:rPr>
        <w:t>”</w:t>
      </w:r>
      <w:r w:rsidR="00C80E96" w:rsidRPr="006319C6">
        <w:rPr>
          <w:rFonts w:ascii="Bookman Old Style" w:hAnsi="Bookman Old Style"/>
          <w:sz w:val="28"/>
          <w:szCs w:val="28"/>
        </w:rPr>
        <w:t xml:space="preserve"> in some national legal systems.</w:t>
      </w:r>
      <w:r w:rsidR="00C80E96" w:rsidRPr="006319C6">
        <w:rPr>
          <w:rStyle w:val="FootnoteReference"/>
          <w:rFonts w:ascii="Bookman Old Style" w:hAnsi="Bookman Old Style"/>
          <w:sz w:val="28"/>
          <w:szCs w:val="28"/>
        </w:rPr>
        <w:footnoteReference w:id="51"/>
      </w:r>
      <w:r w:rsidR="00C80E96" w:rsidRPr="006319C6">
        <w:rPr>
          <w:rFonts w:ascii="Bookman Old Style" w:hAnsi="Bookman Old Style"/>
          <w:sz w:val="28"/>
          <w:szCs w:val="28"/>
        </w:rPr>
        <w:t xml:space="preserve"> The doctrine serves to link crimes to several, at times many, individuals who participated as perpetrators of crimes, or </w:t>
      </w:r>
      <w:r w:rsidR="00C80E96" w:rsidRPr="006319C6">
        <w:rPr>
          <w:rFonts w:ascii="Bookman Old Style" w:hAnsi="Bookman Old Style"/>
          <w:sz w:val="28"/>
          <w:szCs w:val="28"/>
        </w:rPr>
        <w:lastRenderedPageBreak/>
        <w:t>who acted as instigators, accomplices, or planners. While connecting some individuals to the commission of actual crimes, for example the killing of civilian</w:t>
      </w:r>
      <w:r w:rsidR="00EF3742" w:rsidRPr="006319C6">
        <w:rPr>
          <w:rFonts w:ascii="Bookman Old Style" w:hAnsi="Bookman Old Style"/>
          <w:sz w:val="28"/>
          <w:szCs w:val="28"/>
        </w:rPr>
        <w:t>s</w:t>
      </w:r>
      <w:r w:rsidR="00C80E96" w:rsidRPr="006319C6">
        <w:rPr>
          <w:rFonts w:ascii="Bookman Old Style" w:hAnsi="Bookman Old Style"/>
          <w:sz w:val="28"/>
          <w:szCs w:val="28"/>
        </w:rPr>
        <w:t xml:space="preserve">, the doctrine allows forensic consideration of the interactions between – and cooperation among – all the individuals who may </w:t>
      </w:r>
      <w:r w:rsidR="001B3924" w:rsidRPr="006319C6">
        <w:rPr>
          <w:rFonts w:ascii="Bookman Old Style" w:hAnsi="Bookman Old Style"/>
          <w:sz w:val="28"/>
          <w:szCs w:val="28"/>
        </w:rPr>
        <w:t>be members of a group or organiz</w:t>
      </w:r>
      <w:r w:rsidR="00C80E96" w:rsidRPr="006319C6">
        <w:rPr>
          <w:rFonts w:ascii="Bookman Old Style" w:hAnsi="Bookman Old Style"/>
          <w:sz w:val="28"/>
          <w:szCs w:val="28"/>
        </w:rPr>
        <w:t xml:space="preserve">ation, </w:t>
      </w:r>
      <w:r w:rsidR="00972136" w:rsidRPr="006319C6">
        <w:rPr>
          <w:rFonts w:ascii="Bookman Old Style" w:hAnsi="Bookman Old Style"/>
          <w:sz w:val="28"/>
          <w:szCs w:val="28"/>
        </w:rPr>
        <w:t>and</w:t>
      </w:r>
      <w:r w:rsidR="00C80E96" w:rsidRPr="006319C6">
        <w:rPr>
          <w:rFonts w:ascii="Bookman Old Style" w:hAnsi="Bookman Old Style"/>
          <w:sz w:val="28"/>
          <w:szCs w:val="28"/>
        </w:rPr>
        <w:t xml:space="preserve"> who may simply have acted in concert, for the purposes of the JCE.</w:t>
      </w:r>
      <w:r w:rsidR="00C80E96" w:rsidRPr="006319C6">
        <w:rPr>
          <w:rStyle w:val="FootnoteReference"/>
          <w:rFonts w:ascii="Bookman Old Style" w:hAnsi="Bookman Old Style"/>
          <w:sz w:val="28"/>
          <w:szCs w:val="28"/>
        </w:rPr>
        <w:footnoteReference w:id="52"/>
      </w:r>
    </w:p>
    <w:p w14:paraId="3E62DF1E" w14:textId="471A51DB" w:rsidR="00C80E96" w:rsidRPr="006319C6" w:rsidRDefault="00C80E96"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t xml:space="preserve">The scope of the doctrine includes </w:t>
      </w:r>
      <w:r w:rsidR="00806E59" w:rsidRPr="006319C6">
        <w:rPr>
          <w:rFonts w:ascii="Bookman Old Style" w:hAnsi="Bookman Old Style"/>
          <w:sz w:val="28"/>
          <w:szCs w:val="28"/>
        </w:rPr>
        <w:t>“</w:t>
      </w:r>
      <w:r w:rsidRPr="006319C6">
        <w:rPr>
          <w:rFonts w:ascii="Bookman Old Style" w:hAnsi="Bookman Old Style"/>
          <w:sz w:val="28"/>
          <w:szCs w:val="28"/>
        </w:rPr>
        <w:t>common purpose</w:t>
      </w:r>
      <w:r w:rsidR="00806E59" w:rsidRPr="006319C6">
        <w:rPr>
          <w:rFonts w:ascii="Bookman Old Style" w:hAnsi="Bookman Old Style"/>
          <w:sz w:val="28"/>
          <w:szCs w:val="28"/>
        </w:rPr>
        <w:t>”</w:t>
      </w:r>
      <w:r w:rsidRPr="006319C6">
        <w:rPr>
          <w:rFonts w:ascii="Bookman Old Style" w:hAnsi="Bookman Old Style"/>
          <w:sz w:val="28"/>
          <w:szCs w:val="28"/>
        </w:rPr>
        <w:t xml:space="preserve">, where the members of a JCE </w:t>
      </w:r>
      <w:r w:rsidR="001447E4" w:rsidRPr="006319C6">
        <w:rPr>
          <w:rFonts w:ascii="Bookman Old Style" w:hAnsi="Bookman Old Style"/>
          <w:sz w:val="28"/>
          <w:szCs w:val="28"/>
        </w:rPr>
        <w:t xml:space="preserve">– whatever their actual involvement in </w:t>
      </w:r>
      <w:r w:rsidR="00EF3742" w:rsidRPr="006319C6">
        <w:rPr>
          <w:rFonts w:ascii="Bookman Old Style" w:hAnsi="Bookman Old Style"/>
          <w:sz w:val="28"/>
          <w:szCs w:val="28"/>
        </w:rPr>
        <w:t xml:space="preserve">the </w:t>
      </w:r>
      <w:r w:rsidR="001447E4" w:rsidRPr="006319C6">
        <w:rPr>
          <w:rFonts w:ascii="Bookman Old Style" w:hAnsi="Bookman Old Style"/>
          <w:sz w:val="28"/>
          <w:szCs w:val="28"/>
        </w:rPr>
        <w:t>commi</w:t>
      </w:r>
      <w:r w:rsidR="00184FB1" w:rsidRPr="006319C6">
        <w:rPr>
          <w:rFonts w:ascii="Bookman Old Style" w:hAnsi="Bookman Old Style"/>
          <w:sz w:val="28"/>
          <w:szCs w:val="28"/>
        </w:rPr>
        <w:t>s</w:t>
      </w:r>
      <w:r w:rsidR="001447E4" w:rsidRPr="006319C6">
        <w:rPr>
          <w:rFonts w:ascii="Bookman Old Style" w:hAnsi="Bookman Old Style"/>
          <w:sz w:val="28"/>
          <w:szCs w:val="28"/>
        </w:rPr>
        <w:t xml:space="preserve">sion of </w:t>
      </w:r>
      <w:r w:rsidR="00EF3742" w:rsidRPr="006319C6">
        <w:rPr>
          <w:rFonts w:ascii="Bookman Old Style" w:hAnsi="Bookman Old Style"/>
          <w:sz w:val="28"/>
          <w:szCs w:val="28"/>
        </w:rPr>
        <w:t xml:space="preserve">the </w:t>
      </w:r>
      <w:r w:rsidR="001447E4" w:rsidRPr="006319C6">
        <w:rPr>
          <w:rFonts w:ascii="Bookman Old Style" w:hAnsi="Bookman Old Style"/>
          <w:sz w:val="28"/>
          <w:szCs w:val="28"/>
        </w:rPr>
        <w:t xml:space="preserve">crimes </w:t>
      </w:r>
      <w:r w:rsidR="00184FB1" w:rsidRPr="006319C6">
        <w:rPr>
          <w:rFonts w:ascii="Bookman Old Style" w:hAnsi="Bookman Old Style"/>
          <w:sz w:val="28"/>
          <w:szCs w:val="28"/>
        </w:rPr>
        <w:t xml:space="preserve">– </w:t>
      </w:r>
      <w:r w:rsidRPr="006319C6">
        <w:rPr>
          <w:rFonts w:ascii="Bookman Old Style" w:hAnsi="Bookman Old Style"/>
          <w:sz w:val="28"/>
          <w:szCs w:val="28"/>
        </w:rPr>
        <w:t>share</w:t>
      </w:r>
      <w:r w:rsidR="001447E4" w:rsidRPr="006319C6">
        <w:rPr>
          <w:rFonts w:ascii="Bookman Old Style" w:hAnsi="Bookman Old Style"/>
          <w:sz w:val="28"/>
          <w:szCs w:val="28"/>
        </w:rPr>
        <w:t>d</w:t>
      </w:r>
      <w:r w:rsidRPr="006319C6">
        <w:rPr>
          <w:rFonts w:ascii="Bookman Old Style" w:hAnsi="Bookman Old Style"/>
          <w:sz w:val="28"/>
          <w:szCs w:val="28"/>
        </w:rPr>
        <w:t xml:space="preserve"> a common understanding of its goals. At the ICTY, different levels of part</w:t>
      </w:r>
      <w:r w:rsidR="00184FB1" w:rsidRPr="006319C6">
        <w:rPr>
          <w:rFonts w:ascii="Bookman Old Style" w:hAnsi="Bookman Old Style"/>
          <w:sz w:val="28"/>
          <w:szCs w:val="28"/>
        </w:rPr>
        <w:t>icipation in a JCE were recogniz</w:t>
      </w:r>
      <w:r w:rsidRPr="006319C6">
        <w:rPr>
          <w:rFonts w:ascii="Bookman Old Style" w:hAnsi="Bookman Old Style"/>
          <w:sz w:val="28"/>
          <w:szCs w:val="28"/>
        </w:rPr>
        <w:t xml:space="preserve">ed; but each level required JCE members to have shared a common criminal purpose </w:t>
      </w:r>
      <w:r w:rsidR="00972136" w:rsidRPr="006319C6">
        <w:rPr>
          <w:rFonts w:ascii="Bookman Old Style" w:hAnsi="Bookman Old Style"/>
          <w:sz w:val="28"/>
          <w:szCs w:val="28"/>
        </w:rPr>
        <w:t>and to have,</w:t>
      </w:r>
      <w:r w:rsidRPr="006319C6">
        <w:rPr>
          <w:rFonts w:ascii="Bookman Old Style" w:hAnsi="Bookman Old Style"/>
          <w:sz w:val="28"/>
          <w:szCs w:val="28"/>
        </w:rPr>
        <w:t xml:space="preserve"> at </w:t>
      </w:r>
      <w:r w:rsidR="00972136" w:rsidRPr="006319C6">
        <w:rPr>
          <w:rFonts w:ascii="Bookman Old Style" w:hAnsi="Bookman Old Style"/>
          <w:sz w:val="28"/>
          <w:szCs w:val="28"/>
        </w:rPr>
        <w:t xml:space="preserve">a </w:t>
      </w:r>
      <w:r w:rsidRPr="006319C6">
        <w:rPr>
          <w:rFonts w:ascii="Bookman Old Style" w:hAnsi="Bookman Old Style"/>
          <w:sz w:val="28"/>
          <w:szCs w:val="28"/>
        </w:rPr>
        <w:t>minimum, knowledge that crimes were being committed by others. Critics of the doctrine point to its inability to account for “(co)responsibility in case of functional fragmentation where the lines of communication between the accomplices are diffuse or are even completely obl</w:t>
      </w:r>
      <w:r w:rsidR="00184FB1" w:rsidRPr="006319C6">
        <w:rPr>
          <w:rFonts w:ascii="Bookman Old Style" w:hAnsi="Bookman Old Style"/>
          <w:sz w:val="28"/>
          <w:szCs w:val="28"/>
        </w:rPr>
        <w:t>iterated</w:t>
      </w:r>
      <w:r w:rsidRPr="006319C6">
        <w:rPr>
          <w:rFonts w:ascii="Bookman Old Style" w:hAnsi="Bookman Old Style"/>
          <w:sz w:val="28"/>
          <w:szCs w:val="28"/>
        </w:rPr>
        <w:t>”</w:t>
      </w:r>
      <w:r w:rsidR="00184FB1" w:rsidRPr="006319C6">
        <w:rPr>
          <w:rFonts w:ascii="Bookman Old Style" w:hAnsi="Bookman Old Style"/>
          <w:sz w:val="28"/>
          <w:szCs w:val="28"/>
        </w:rPr>
        <w:t>.</w:t>
      </w:r>
      <w:r w:rsidR="001447E4" w:rsidRPr="006319C6">
        <w:rPr>
          <w:rFonts w:ascii="Bookman Old Style" w:hAnsi="Bookman Old Style"/>
          <w:sz w:val="28"/>
          <w:szCs w:val="28"/>
        </w:rPr>
        <w:t xml:space="preserve"> But </w:t>
      </w:r>
      <w:r w:rsidR="00410FAA" w:rsidRPr="006319C6">
        <w:rPr>
          <w:rFonts w:ascii="Bookman Old Style" w:hAnsi="Bookman Old Style"/>
          <w:sz w:val="28"/>
          <w:szCs w:val="28"/>
        </w:rPr>
        <w:t>these criticisms overlook</w:t>
      </w:r>
      <w:r w:rsidR="00FB77B6" w:rsidRPr="006319C6">
        <w:rPr>
          <w:rFonts w:ascii="Bookman Old Style" w:hAnsi="Bookman Old Style"/>
          <w:sz w:val="28"/>
          <w:szCs w:val="28"/>
        </w:rPr>
        <w:t xml:space="preserve"> the realities of how </w:t>
      </w:r>
      <w:r w:rsidR="001447E4" w:rsidRPr="006319C6">
        <w:rPr>
          <w:rFonts w:ascii="Bookman Old Style" w:hAnsi="Bookman Old Style"/>
          <w:sz w:val="28"/>
          <w:szCs w:val="28"/>
        </w:rPr>
        <w:t xml:space="preserve">mass atrocities can be directed without </w:t>
      </w:r>
      <w:r w:rsidR="00410FAA" w:rsidRPr="006319C6">
        <w:rPr>
          <w:rFonts w:ascii="Bookman Old Style" w:hAnsi="Bookman Old Style"/>
          <w:sz w:val="28"/>
          <w:szCs w:val="28"/>
        </w:rPr>
        <w:t>puppeteer</w:t>
      </w:r>
      <w:r w:rsidR="001447E4" w:rsidRPr="006319C6">
        <w:rPr>
          <w:rFonts w:ascii="Bookman Old Style" w:hAnsi="Bookman Old Style"/>
          <w:sz w:val="28"/>
          <w:szCs w:val="28"/>
        </w:rPr>
        <w:t xml:space="preserve"> strings be</w:t>
      </w:r>
      <w:r w:rsidR="00410FAA" w:rsidRPr="006319C6">
        <w:rPr>
          <w:rFonts w:ascii="Bookman Old Style" w:hAnsi="Bookman Old Style"/>
          <w:sz w:val="28"/>
          <w:szCs w:val="28"/>
        </w:rPr>
        <w:t>ing visible</w:t>
      </w:r>
      <w:r w:rsidR="00FB77B6" w:rsidRPr="006319C6">
        <w:rPr>
          <w:rFonts w:ascii="Bookman Old Style" w:hAnsi="Bookman Old Style"/>
          <w:sz w:val="28"/>
          <w:szCs w:val="28"/>
        </w:rPr>
        <w:t xml:space="preserve">. </w:t>
      </w:r>
      <w:r w:rsidR="00410FAA" w:rsidRPr="006319C6">
        <w:rPr>
          <w:rFonts w:ascii="Bookman Old Style" w:hAnsi="Bookman Old Style"/>
          <w:sz w:val="28"/>
          <w:szCs w:val="28"/>
        </w:rPr>
        <w:t xml:space="preserve">And the law </w:t>
      </w:r>
      <w:r w:rsidR="00972136" w:rsidRPr="006319C6">
        <w:rPr>
          <w:rFonts w:ascii="Bookman Old Style" w:hAnsi="Bookman Old Style"/>
          <w:sz w:val="28"/>
          <w:szCs w:val="28"/>
        </w:rPr>
        <w:t xml:space="preserve">– with all its technical </w:t>
      </w:r>
      <w:r w:rsidR="00634ACA" w:rsidRPr="006319C6">
        <w:rPr>
          <w:rFonts w:ascii="Bookman Old Style" w:hAnsi="Bookman Old Style"/>
          <w:sz w:val="28"/>
          <w:szCs w:val="28"/>
        </w:rPr>
        <w:t>rules and doct</w:t>
      </w:r>
      <w:r w:rsidR="00EF3742" w:rsidRPr="006319C6">
        <w:rPr>
          <w:rFonts w:ascii="Bookman Old Style" w:hAnsi="Bookman Old Style"/>
          <w:sz w:val="28"/>
          <w:szCs w:val="28"/>
        </w:rPr>
        <w:t>r</w:t>
      </w:r>
      <w:r w:rsidR="00634ACA" w:rsidRPr="006319C6">
        <w:rPr>
          <w:rFonts w:ascii="Bookman Old Style" w:hAnsi="Bookman Old Style"/>
          <w:sz w:val="28"/>
          <w:szCs w:val="28"/>
        </w:rPr>
        <w:t xml:space="preserve">ines </w:t>
      </w:r>
      <w:r w:rsidR="00972136" w:rsidRPr="006319C6">
        <w:rPr>
          <w:rFonts w:ascii="Bookman Old Style" w:hAnsi="Bookman Old Style"/>
          <w:sz w:val="28"/>
          <w:szCs w:val="28"/>
        </w:rPr>
        <w:t xml:space="preserve">– </w:t>
      </w:r>
      <w:r w:rsidR="00410FAA" w:rsidRPr="006319C6">
        <w:rPr>
          <w:rFonts w:ascii="Bookman Old Style" w:hAnsi="Bookman Old Style"/>
          <w:sz w:val="28"/>
          <w:szCs w:val="28"/>
        </w:rPr>
        <w:t>is</w:t>
      </w:r>
      <w:r w:rsidR="00972136" w:rsidRPr="006319C6">
        <w:rPr>
          <w:rFonts w:ascii="Bookman Old Style" w:hAnsi="Bookman Old Style"/>
          <w:sz w:val="28"/>
          <w:szCs w:val="28"/>
        </w:rPr>
        <w:t xml:space="preserve"> </w:t>
      </w:r>
      <w:r w:rsidR="00634ACA" w:rsidRPr="006319C6">
        <w:rPr>
          <w:rFonts w:ascii="Bookman Old Style" w:hAnsi="Bookman Old Style"/>
          <w:sz w:val="28"/>
          <w:szCs w:val="28"/>
        </w:rPr>
        <w:t xml:space="preserve">expected to disclose the complex realties behind the crimes. </w:t>
      </w:r>
    </w:p>
    <w:p w14:paraId="14D3DA59" w14:textId="77777777" w:rsidR="009E1765" w:rsidRPr="006319C6" w:rsidRDefault="00C80E96" w:rsidP="0021558F">
      <w:pPr>
        <w:pStyle w:val="Paragraph"/>
        <w:spacing w:before="0" w:after="0" w:line="240" w:lineRule="auto"/>
        <w:rPr>
          <w:rFonts w:ascii="Bookman Old Style" w:hAnsi="Bookman Old Style"/>
          <w:color w:val="141414"/>
          <w:sz w:val="28"/>
          <w:szCs w:val="28"/>
        </w:rPr>
      </w:pPr>
      <w:r w:rsidRPr="006319C6">
        <w:rPr>
          <w:rFonts w:ascii="Bookman Old Style" w:hAnsi="Bookman Old Style"/>
          <w:color w:val="000000"/>
          <w:sz w:val="28"/>
          <w:szCs w:val="28"/>
          <w:lang w:val="hr-HR"/>
        </w:rPr>
        <w:tab/>
      </w:r>
      <w:r w:rsidR="006D43E7" w:rsidRPr="006319C6">
        <w:rPr>
          <w:rFonts w:ascii="Bookman Old Style" w:hAnsi="Bookman Old Style"/>
          <w:color w:val="000000"/>
          <w:sz w:val="28"/>
          <w:szCs w:val="28"/>
          <w:lang w:val="hr-HR"/>
        </w:rPr>
        <w:t>A</w:t>
      </w:r>
      <w:r w:rsidRPr="006319C6">
        <w:rPr>
          <w:rFonts w:ascii="Bookman Old Style" w:hAnsi="Bookman Old Style"/>
          <w:color w:val="000000"/>
          <w:sz w:val="28"/>
          <w:szCs w:val="28"/>
          <w:lang w:val="hr-HR"/>
        </w:rPr>
        <w:t>t the ICTY</w:t>
      </w:r>
      <w:r w:rsidR="00EF3742" w:rsidRPr="006319C6">
        <w:rPr>
          <w:rFonts w:ascii="Bookman Old Style" w:hAnsi="Bookman Old Style"/>
          <w:color w:val="000000"/>
          <w:sz w:val="28"/>
          <w:szCs w:val="28"/>
          <w:lang w:val="hr-HR"/>
        </w:rPr>
        <w:t xml:space="preserve">, </w:t>
      </w:r>
      <w:r w:rsidRPr="006319C6">
        <w:rPr>
          <w:rFonts w:ascii="Bookman Old Style" w:hAnsi="Bookman Old Style"/>
          <w:color w:val="000000"/>
          <w:sz w:val="28"/>
          <w:szCs w:val="28"/>
          <w:lang w:val="hr-HR"/>
        </w:rPr>
        <w:t>separate but connected trials</w:t>
      </w:r>
      <w:r w:rsidR="006D43E7" w:rsidRPr="006319C6">
        <w:rPr>
          <w:rFonts w:ascii="Bookman Old Style" w:hAnsi="Bookman Old Style"/>
          <w:color w:val="000000"/>
          <w:sz w:val="28"/>
          <w:szCs w:val="28"/>
          <w:lang w:val="hr-HR"/>
        </w:rPr>
        <w:t xml:space="preserve"> were often</w:t>
      </w:r>
      <w:r w:rsidRPr="006319C6">
        <w:rPr>
          <w:rFonts w:ascii="Bookman Old Style" w:hAnsi="Bookman Old Style"/>
          <w:color w:val="000000"/>
          <w:sz w:val="28"/>
          <w:szCs w:val="28"/>
          <w:lang w:val="hr-HR"/>
        </w:rPr>
        <w:t xml:space="preserve"> treated differently depending on </w:t>
      </w:r>
      <w:r w:rsidR="00EF3742" w:rsidRPr="006319C6">
        <w:rPr>
          <w:rFonts w:ascii="Bookman Old Style" w:hAnsi="Bookman Old Style"/>
          <w:color w:val="000000"/>
          <w:sz w:val="28"/>
          <w:szCs w:val="28"/>
          <w:lang w:val="hr-HR"/>
        </w:rPr>
        <w:t xml:space="preserve">the </w:t>
      </w:r>
      <w:r w:rsidRPr="006319C6">
        <w:rPr>
          <w:rFonts w:ascii="Bookman Old Style" w:hAnsi="Bookman Old Style"/>
          <w:color w:val="000000"/>
          <w:sz w:val="28"/>
          <w:szCs w:val="28"/>
          <w:lang w:val="hr-HR"/>
        </w:rPr>
        <w:t xml:space="preserve">decisions made by </w:t>
      </w:r>
      <w:r w:rsidR="00972136" w:rsidRPr="006319C6">
        <w:rPr>
          <w:rFonts w:ascii="Bookman Old Style" w:hAnsi="Bookman Old Style"/>
          <w:color w:val="000000"/>
          <w:sz w:val="28"/>
          <w:szCs w:val="28"/>
          <w:lang w:val="hr-HR"/>
        </w:rPr>
        <w:t xml:space="preserve">the </w:t>
      </w:r>
      <w:r w:rsidRPr="006319C6">
        <w:rPr>
          <w:rFonts w:ascii="Bookman Old Style" w:hAnsi="Bookman Old Style"/>
          <w:color w:val="000000"/>
          <w:sz w:val="28"/>
          <w:szCs w:val="28"/>
          <w:lang w:val="hr-HR"/>
        </w:rPr>
        <w:t xml:space="preserve">Chief Prosecutor or </w:t>
      </w:r>
      <w:r w:rsidR="00972136" w:rsidRPr="006319C6">
        <w:rPr>
          <w:rFonts w:ascii="Bookman Old Style" w:hAnsi="Bookman Old Style"/>
          <w:color w:val="000000"/>
          <w:sz w:val="28"/>
          <w:szCs w:val="28"/>
          <w:lang w:val="hr-HR"/>
        </w:rPr>
        <w:t xml:space="preserve">by </w:t>
      </w:r>
      <w:r w:rsidR="00303AC5" w:rsidRPr="006319C6">
        <w:rPr>
          <w:rFonts w:ascii="Bookman Old Style" w:hAnsi="Bookman Old Style"/>
          <w:color w:val="000000"/>
          <w:sz w:val="28"/>
          <w:szCs w:val="28"/>
          <w:lang w:val="hr-HR"/>
        </w:rPr>
        <w:t>a p</w:t>
      </w:r>
      <w:r w:rsidRPr="006319C6">
        <w:rPr>
          <w:rFonts w:ascii="Bookman Old Style" w:hAnsi="Bookman Old Style"/>
          <w:color w:val="000000"/>
          <w:sz w:val="28"/>
          <w:szCs w:val="28"/>
          <w:lang w:val="hr-HR"/>
        </w:rPr>
        <w:t xml:space="preserve">rosecution trial team leading a case. For example, in some indictments names of individuals feature as members of </w:t>
      </w:r>
      <w:r w:rsidR="006D43E7" w:rsidRPr="006319C6">
        <w:rPr>
          <w:rFonts w:ascii="Bookman Old Style" w:hAnsi="Bookman Old Style"/>
          <w:color w:val="000000"/>
          <w:sz w:val="28"/>
          <w:szCs w:val="28"/>
          <w:lang w:val="hr-HR"/>
        </w:rPr>
        <w:t xml:space="preserve">a </w:t>
      </w:r>
      <w:r w:rsidRPr="006319C6">
        <w:rPr>
          <w:rFonts w:ascii="Bookman Old Style" w:hAnsi="Bookman Old Style"/>
          <w:color w:val="000000"/>
          <w:sz w:val="28"/>
          <w:szCs w:val="28"/>
          <w:lang w:val="hr-HR"/>
        </w:rPr>
        <w:t xml:space="preserve">joint criminal enterprise </w:t>
      </w:r>
      <w:r w:rsidR="006D43E7" w:rsidRPr="006319C6">
        <w:rPr>
          <w:rFonts w:ascii="Bookman Old Style" w:hAnsi="Bookman Old Style"/>
          <w:color w:val="000000"/>
          <w:sz w:val="28"/>
          <w:szCs w:val="28"/>
          <w:lang w:val="hr-HR"/>
        </w:rPr>
        <w:t xml:space="preserve">despite </w:t>
      </w:r>
      <w:r w:rsidR="00152147" w:rsidRPr="006319C6">
        <w:rPr>
          <w:rFonts w:ascii="Bookman Old Style" w:hAnsi="Bookman Old Style"/>
          <w:color w:val="000000"/>
          <w:sz w:val="28"/>
          <w:szCs w:val="28"/>
          <w:lang w:val="hr-HR"/>
        </w:rPr>
        <w:t>none</w:t>
      </w:r>
      <w:r w:rsidRPr="006319C6">
        <w:rPr>
          <w:rFonts w:ascii="Bookman Old Style" w:hAnsi="Bookman Old Style"/>
          <w:color w:val="000000"/>
          <w:sz w:val="28"/>
          <w:szCs w:val="28"/>
          <w:lang w:val="hr-HR"/>
        </w:rPr>
        <w:t xml:space="preserve"> of the mentioned individuals ever be</w:t>
      </w:r>
      <w:r w:rsidR="00152147" w:rsidRPr="006319C6">
        <w:rPr>
          <w:rFonts w:ascii="Bookman Old Style" w:hAnsi="Bookman Old Style"/>
          <w:color w:val="000000"/>
          <w:sz w:val="28"/>
          <w:szCs w:val="28"/>
          <w:lang w:val="hr-HR"/>
        </w:rPr>
        <w:t>ing</w:t>
      </w:r>
      <w:r w:rsidRPr="006319C6">
        <w:rPr>
          <w:rFonts w:ascii="Bookman Old Style" w:hAnsi="Bookman Old Style"/>
          <w:color w:val="000000"/>
          <w:sz w:val="28"/>
          <w:szCs w:val="28"/>
          <w:lang w:val="hr-HR"/>
        </w:rPr>
        <w:t xml:space="preserve"> indicted. Equally, some individuals who were never mentioned in any other ICTY indictment as members of a JCE have been indicted and tried.</w:t>
      </w:r>
      <w:r w:rsidRPr="006319C6">
        <w:rPr>
          <w:rFonts w:ascii="Bookman Old Style" w:hAnsi="Bookman Old Style"/>
          <w:sz w:val="28"/>
          <w:szCs w:val="28"/>
        </w:rPr>
        <w:t xml:space="preserve"> </w:t>
      </w:r>
      <w:r w:rsidRPr="006319C6">
        <w:rPr>
          <w:rFonts w:ascii="Bookman Old Style" w:hAnsi="Bookman Old Style"/>
          <w:color w:val="141414"/>
          <w:sz w:val="28"/>
          <w:szCs w:val="28"/>
        </w:rPr>
        <w:t xml:space="preserve">Once the crimes alleged against an individual have been charged and the indictment confirmed, those charges or </w:t>
      </w:r>
      <w:r w:rsidR="00806E59" w:rsidRPr="006319C6">
        <w:rPr>
          <w:rFonts w:ascii="Bookman Old Style" w:hAnsi="Bookman Old Style"/>
          <w:color w:val="141414"/>
          <w:sz w:val="28"/>
          <w:szCs w:val="28"/>
        </w:rPr>
        <w:t>“</w:t>
      </w:r>
      <w:r w:rsidRPr="006319C6">
        <w:rPr>
          <w:rFonts w:ascii="Bookman Old Style" w:hAnsi="Bookman Old Style"/>
          <w:color w:val="141414"/>
          <w:sz w:val="28"/>
          <w:szCs w:val="28"/>
        </w:rPr>
        <w:t>counts</w:t>
      </w:r>
      <w:r w:rsidR="00806E59" w:rsidRPr="006319C6">
        <w:rPr>
          <w:rFonts w:ascii="Bookman Old Style" w:hAnsi="Bookman Old Style"/>
          <w:color w:val="141414"/>
          <w:sz w:val="28"/>
          <w:szCs w:val="28"/>
        </w:rPr>
        <w:t>”</w:t>
      </w:r>
      <w:r w:rsidRPr="006319C6">
        <w:rPr>
          <w:rFonts w:ascii="Bookman Old Style" w:hAnsi="Bookman Old Style"/>
          <w:color w:val="141414"/>
          <w:sz w:val="28"/>
          <w:szCs w:val="28"/>
        </w:rPr>
        <w:t xml:space="preserve"> in the indictment will have a major influence on the trial and eventually on the judgment. The same accused might be found guilty of some counts </w:t>
      </w:r>
      <w:r w:rsidR="00582540" w:rsidRPr="006319C6">
        <w:rPr>
          <w:rFonts w:ascii="Bookman Old Style" w:hAnsi="Bookman Old Style"/>
          <w:color w:val="141414"/>
          <w:sz w:val="28"/>
          <w:szCs w:val="28"/>
        </w:rPr>
        <w:t>in</w:t>
      </w:r>
      <w:r w:rsidRPr="006319C6">
        <w:rPr>
          <w:rFonts w:ascii="Bookman Old Style" w:hAnsi="Bookman Old Style"/>
          <w:color w:val="141414"/>
          <w:sz w:val="28"/>
          <w:szCs w:val="28"/>
        </w:rPr>
        <w:t xml:space="preserve"> the indictment but acquitted of others. An additional problematic reality is that different trial chambers of the same </w:t>
      </w:r>
    </w:p>
    <w:p w14:paraId="3A087CD2" w14:textId="77777777" w:rsidR="009E1765" w:rsidRPr="006319C6" w:rsidRDefault="009E1765" w:rsidP="0021558F">
      <w:pPr>
        <w:pStyle w:val="Paragraph"/>
        <w:spacing w:before="0" w:after="0" w:line="240" w:lineRule="auto"/>
        <w:rPr>
          <w:rFonts w:ascii="Bookman Old Style" w:hAnsi="Bookman Old Style"/>
          <w:color w:val="141414"/>
          <w:sz w:val="28"/>
          <w:szCs w:val="28"/>
        </w:rPr>
      </w:pPr>
    </w:p>
    <w:p w14:paraId="72A949BF" w14:textId="77777777" w:rsidR="009E1765" w:rsidRPr="006319C6" w:rsidRDefault="009E1765" w:rsidP="0021558F">
      <w:pPr>
        <w:pStyle w:val="Paragraph"/>
        <w:spacing w:before="0" w:after="0" w:line="240" w:lineRule="auto"/>
        <w:rPr>
          <w:rFonts w:ascii="Bookman Old Style" w:hAnsi="Bookman Old Style"/>
          <w:color w:val="141414"/>
          <w:sz w:val="28"/>
          <w:szCs w:val="28"/>
        </w:rPr>
      </w:pPr>
    </w:p>
    <w:p w14:paraId="014A5189" w14:textId="1E6C410E" w:rsidR="0021558F" w:rsidRPr="006319C6" w:rsidRDefault="00C80E96" w:rsidP="0021558F">
      <w:pPr>
        <w:pStyle w:val="Paragraph"/>
        <w:spacing w:before="0" w:after="0" w:line="240" w:lineRule="auto"/>
        <w:rPr>
          <w:rFonts w:ascii="Bookman Old Style" w:hAnsi="Bookman Old Style"/>
          <w:color w:val="141414"/>
          <w:sz w:val="28"/>
          <w:szCs w:val="28"/>
        </w:rPr>
      </w:pPr>
      <w:r w:rsidRPr="006319C6">
        <w:rPr>
          <w:rFonts w:ascii="Bookman Old Style" w:hAnsi="Bookman Old Style"/>
          <w:color w:val="141414"/>
          <w:sz w:val="28"/>
          <w:szCs w:val="28"/>
        </w:rPr>
        <w:t>tribu</w:t>
      </w:r>
      <w:r w:rsidR="0021558F" w:rsidRPr="006319C6">
        <w:rPr>
          <w:rFonts w:ascii="Bookman Old Style" w:hAnsi="Bookman Old Style"/>
          <w:color w:val="141414"/>
          <w:sz w:val="28"/>
          <w:szCs w:val="28"/>
        </w:rPr>
        <w:t xml:space="preserve">nal or court might ascribe </w:t>
      </w:r>
      <w:r w:rsidRPr="006319C6">
        <w:rPr>
          <w:rFonts w:ascii="Bookman Old Style" w:hAnsi="Bookman Old Style"/>
          <w:color w:val="141414"/>
          <w:sz w:val="28"/>
          <w:szCs w:val="28"/>
        </w:rPr>
        <w:t>different value to evidence they have heard on similar or identical topics and come to different conclusions about relevant historical events. How can a historian evaluate an indicment and a related judgment and decide when a</w:t>
      </w:r>
      <w:r w:rsidR="00CE6F9F" w:rsidRPr="006319C6">
        <w:rPr>
          <w:rFonts w:ascii="Bookman Old Style" w:hAnsi="Bookman Old Style"/>
          <w:color w:val="141414"/>
          <w:sz w:val="28"/>
          <w:szCs w:val="28"/>
        </w:rPr>
        <w:t>n</w:t>
      </w:r>
      <w:r w:rsidRPr="006319C6">
        <w:rPr>
          <w:rFonts w:ascii="Bookman Old Style" w:hAnsi="Bookman Old Style"/>
          <w:color w:val="141414"/>
          <w:sz w:val="28"/>
          <w:szCs w:val="28"/>
        </w:rPr>
        <w:t xml:space="preserve"> indictment or a judgment or both </w:t>
      </w:r>
      <w:r w:rsidR="00CE6F9F" w:rsidRPr="006319C6">
        <w:rPr>
          <w:rFonts w:ascii="Bookman Old Style" w:hAnsi="Bookman Old Style"/>
          <w:color w:val="141414"/>
          <w:sz w:val="28"/>
          <w:szCs w:val="28"/>
        </w:rPr>
        <w:t>might be flawed</w:t>
      </w:r>
      <w:r w:rsidR="00A9165D" w:rsidRPr="006319C6">
        <w:rPr>
          <w:rFonts w:ascii="Bookman Old Style" w:hAnsi="Bookman Old Style"/>
          <w:color w:val="141414"/>
          <w:sz w:val="28"/>
          <w:szCs w:val="28"/>
        </w:rPr>
        <w:t>.</w:t>
      </w:r>
    </w:p>
    <w:p w14:paraId="3461F273" w14:textId="77777777" w:rsidR="0021558F" w:rsidRPr="006319C6" w:rsidRDefault="0021558F" w:rsidP="0021558F">
      <w:pPr>
        <w:pStyle w:val="Paragraph"/>
        <w:spacing w:before="0" w:after="0" w:line="240" w:lineRule="auto"/>
        <w:rPr>
          <w:rFonts w:ascii="Bookman Old Style" w:hAnsi="Bookman Old Style"/>
          <w:color w:val="141414"/>
          <w:sz w:val="28"/>
          <w:szCs w:val="28"/>
        </w:rPr>
      </w:pPr>
    </w:p>
    <w:p w14:paraId="1DB76D8C" w14:textId="07F92076" w:rsidR="00A9165D" w:rsidRPr="006319C6" w:rsidRDefault="0021558F" w:rsidP="0021558F">
      <w:pPr>
        <w:pStyle w:val="Paragraph"/>
        <w:spacing w:before="0" w:after="0" w:line="240" w:lineRule="auto"/>
        <w:rPr>
          <w:rFonts w:ascii="Bookman Old Style" w:hAnsi="Bookman Old Style"/>
          <w:color w:val="141414"/>
          <w:sz w:val="28"/>
          <w:szCs w:val="28"/>
        </w:rPr>
      </w:pPr>
      <w:r w:rsidRPr="006319C6">
        <w:rPr>
          <w:rFonts w:ascii="Bookman Old Style" w:hAnsi="Bookman Old Style"/>
          <w:b/>
          <w:color w:val="141414"/>
          <w:sz w:val="28"/>
          <w:szCs w:val="28"/>
        </w:rPr>
        <w:t xml:space="preserve">Flawed Indictment or </w:t>
      </w:r>
      <w:r w:rsidR="00C80E96" w:rsidRPr="006319C6">
        <w:rPr>
          <w:rFonts w:ascii="Bookman Old Style" w:hAnsi="Bookman Old Style"/>
          <w:b/>
          <w:color w:val="141414"/>
          <w:sz w:val="28"/>
          <w:szCs w:val="28"/>
        </w:rPr>
        <w:t>Flawed Judgment?</w:t>
      </w:r>
    </w:p>
    <w:p w14:paraId="1D1225CE" w14:textId="77777777" w:rsidR="0021558F" w:rsidRPr="006319C6" w:rsidRDefault="0021558F" w:rsidP="00A9165D">
      <w:pPr>
        <w:pStyle w:val="Paragraph"/>
        <w:spacing w:before="0" w:after="0" w:line="240" w:lineRule="auto"/>
        <w:ind w:firstLine="720"/>
        <w:rPr>
          <w:rFonts w:ascii="Bookman Old Style" w:hAnsi="Bookman Old Style"/>
          <w:sz w:val="28"/>
          <w:szCs w:val="28"/>
        </w:rPr>
      </w:pPr>
    </w:p>
    <w:p w14:paraId="46FB8A9E" w14:textId="06F9B28B" w:rsidR="00C80E96" w:rsidRPr="006319C6" w:rsidRDefault="00C80E96" w:rsidP="00A9165D">
      <w:pPr>
        <w:pStyle w:val="Paragraph"/>
        <w:spacing w:before="0" w:after="0" w:line="240" w:lineRule="auto"/>
        <w:ind w:firstLine="720"/>
        <w:rPr>
          <w:rFonts w:ascii="Bookman Old Style" w:hAnsi="Bookman Old Style"/>
          <w:b/>
          <w:color w:val="141414"/>
          <w:sz w:val="28"/>
          <w:szCs w:val="28"/>
        </w:rPr>
      </w:pPr>
      <w:r w:rsidRPr="006319C6">
        <w:rPr>
          <w:rFonts w:ascii="Bookman Old Style" w:hAnsi="Bookman Old Style"/>
          <w:sz w:val="28"/>
          <w:szCs w:val="28"/>
        </w:rPr>
        <w:t>General Perišić</w:t>
      </w:r>
      <w:r w:rsidR="00A34EE3" w:rsidRPr="006319C6">
        <w:rPr>
          <w:rFonts w:ascii="Bookman Old Style" w:hAnsi="Bookman Old Style"/>
          <w:sz w:val="28"/>
          <w:szCs w:val="28"/>
        </w:rPr>
        <w:t xml:space="preserve">, </w:t>
      </w:r>
      <w:r w:rsidRPr="006319C6">
        <w:rPr>
          <w:rFonts w:ascii="Bookman Old Style" w:hAnsi="Bookman Old Style"/>
          <w:sz w:val="28"/>
          <w:szCs w:val="28"/>
        </w:rPr>
        <w:t xml:space="preserve">the Chief of Staff of the Army of </w:t>
      </w:r>
      <w:r w:rsidR="00A34EE3" w:rsidRPr="006319C6">
        <w:rPr>
          <w:rFonts w:ascii="Bookman Old Style" w:hAnsi="Bookman Old Style"/>
          <w:sz w:val="28"/>
          <w:szCs w:val="28"/>
        </w:rPr>
        <w:t>Yugoslavia from 1993 to 1998,</w:t>
      </w:r>
      <w:r w:rsidRPr="006319C6">
        <w:rPr>
          <w:rFonts w:ascii="Bookman Old Style" w:hAnsi="Bookman Old Style"/>
          <w:sz w:val="28"/>
          <w:szCs w:val="28"/>
        </w:rPr>
        <w:t xml:space="preserve"> was indicted for crimes that </w:t>
      </w:r>
      <w:r w:rsidR="00A34EE3" w:rsidRPr="006319C6">
        <w:rPr>
          <w:rFonts w:ascii="Bookman Old Style" w:hAnsi="Bookman Old Style"/>
          <w:sz w:val="28"/>
          <w:szCs w:val="28"/>
        </w:rPr>
        <w:t>happened on the territory of Bosnia and Herzogovina</w:t>
      </w:r>
      <w:r w:rsidRPr="006319C6">
        <w:rPr>
          <w:rFonts w:ascii="Bookman Old Style" w:hAnsi="Bookman Old Style"/>
          <w:sz w:val="28"/>
          <w:szCs w:val="28"/>
        </w:rPr>
        <w:t xml:space="preserve"> from 1992 to 1995. He had been indicted for aiding and abetting crimes committed by the Serbian Army of Krajina (</w:t>
      </w:r>
      <w:r w:rsidRPr="006319C6">
        <w:rPr>
          <w:rFonts w:ascii="Bookman Old Style" w:hAnsi="Bookman Old Style"/>
          <w:i/>
          <w:sz w:val="28"/>
          <w:szCs w:val="28"/>
        </w:rPr>
        <w:t>Srpska vojska Krajine</w:t>
      </w:r>
      <w:r w:rsidRPr="006319C6">
        <w:rPr>
          <w:rFonts w:ascii="Bookman Old Style" w:hAnsi="Bookman Old Style"/>
          <w:sz w:val="28"/>
          <w:szCs w:val="28"/>
        </w:rPr>
        <w:t xml:space="preserve"> – SVK) in Croatia and </w:t>
      </w:r>
      <w:r w:rsidR="00EA64F1" w:rsidRPr="006319C6">
        <w:rPr>
          <w:rFonts w:ascii="Bookman Old Style" w:hAnsi="Bookman Old Style"/>
          <w:sz w:val="28"/>
          <w:szCs w:val="28"/>
        </w:rPr>
        <w:t xml:space="preserve">by </w:t>
      </w:r>
      <w:r w:rsidRPr="006319C6">
        <w:rPr>
          <w:rFonts w:ascii="Bookman Old Style" w:hAnsi="Bookman Old Style"/>
          <w:sz w:val="28"/>
          <w:szCs w:val="28"/>
        </w:rPr>
        <w:t>the Bosnian Serb Army</w:t>
      </w:r>
      <w:r w:rsidR="00634ACA" w:rsidRPr="006319C6">
        <w:rPr>
          <w:rFonts w:ascii="Bookman Old Style" w:hAnsi="Bookman Old Style"/>
          <w:sz w:val="28"/>
          <w:szCs w:val="28"/>
        </w:rPr>
        <w:t xml:space="preserve"> (</w:t>
      </w:r>
      <w:r w:rsidR="00634ACA" w:rsidRPr="006319C6">
        <w:rPr>
          <w:rFonts w:ascii="Bookman Old Style" w:hAnsi="Bookman Old Style"/>
          <w:i/>
          <w:sz w:val="28"/>
          <w:szCs w:val="28"/>
        </w:rPr>
        <w:t>Vojska Republike Srpske</w:t>
      </w:r>
      <w:r w:rsidR="00634ACA" w:rsidRPr="006319C6">
        <w:rPr>
          <w:rFonts w:ascii="Bookman Old Style" w:hAnsi="Bookman Old Style"/>
          <w:sz w:val="28"/>
          <w:szCs w:val="28"/>
        </w:rPr>
        <w:t xml:space="preserve"> – </w:t>
      </w:r>
      <w:r w:rsidRPr="006319C6">
        <w:rPr>
          <w:rFonts w:ascii="Bookman Old Style" w:hAnsi="Bookman Old Style"/>
          <w:sz w:val="28"/>
          <w:szCs w:val="28"/>
        </w:rPr>
        <w:t>VRS</w:t>
      </w:r>
      <w:r w:rsidR="00634ACA" w:rsidRPr="006319C6">
        <w:rPr>
          <w:rFonts w:ascii="Bookman Old Style" w:hAnsi="Bookman Old Style"/>
          <w:sz w:val="28"/>
          <w:szCs w:val="28"/>
        </w:rPr>
        <w:t>)</w:t>
      </w:r>
      <w:r w:rsidR="00A34EE3" w:rsidRPr="006319C6">
        <w:rPr>
          <w:rFonts w:ascii="Bookman Old Style" w:hAnsi="Bookman Old Style"/>
          <w:sz w:val="28"/>
          <w:szCs w:val="28"/>
        </w:rPr>
        <w:t xml:space="preserve"> in Bosnia and Herzogovina</w:t>
      </w:r>
      <w:r w:rsidRPr="006319C6">
        <w:rPr>
          <w:rFonts w:ascii="Bookman Old Style" w:hAnsi="Bookman Old Style"/>
          <w:sz w:val="28"/>
          <w:szCs w:val="28"/>
        </w:rPr>
        <w:t>, but was never named as a member of any JCE in an</w:t>
      </w:r>
      <w:r w:rsidR="00A34EE3" w:rsidRPr="006319C6">
        <w:rPr>
          <w:rFonts w:ascii="Bookman Old Style" w:hAnsi="Bookman Old Style"/>
          <w:sz w:val="28"/>
          <w:szCs w:val="28"/>
        </w:rPr>
        <w:t xml:space="preserve">y related ICTY indictment. </w:t>
      </w:r>
      <w:r w:rsidRPr="006319C6">
        <w:rPr>
          <w:rFonts w:ascii="Bookman Old Style" w:hAnsi="Bookman Old Style"/>
          <w:sz w:val="28"/>
          <w:szCs w:val="28"/>
        </w:rPr>
        <w:t xml:space="preserve">Perišić’s indictment – for some reason - did not include the JCE legal doctrine at all. </w:t>
      </w:r>
    </w:p>
    <w:p w14:paraId="3B01A976" w14:textId="0483D38F" w:rsidR="00C80E96" w:rsidRPr="006319C6" w:rsidRDefault="00C80E96" w:rsidP="00A9165D">
      <w:pPr>
        <w:jc w:val="both"/>
        <w:rPr>
          <w:rFonts w:ascii="Bookman Old Style" w:eastAsia="Times New Roman" w:hAnsi="Bookman Old Style" w:cs="Times New Roman"/>
          <w:sz w:val="28"/>
          <w:szCs w:val="28"/>
          <w:highlight w:val="cyan"/>
          <w:lang w:val="en-GB" w:eastAsia="it-IT"/>
        </w:rPr>
      </w:pPr>
      <w:r w:rsidRPr="006319C6">
        <w:rPr>
          <w:rFonts w:ascii="Bookman Old Style" w:hAnsi="Bookman Old Style" w:cs="Times New Roman"/>
          <w:sz w:val="28"/>
          <w:szCs w:val="28"/>
        </w:rPr>
        <w:tab/>
        <w:t>The only names me</w:t>
      </w:r>
      <w:r w:rsidR="00C14C96" w:rsidRPr="006319C6">
        <w:rPr>
          <w:rFonts w:ascii="Bookman Old Style" w:hAnsi="Bookman Old Style" w:cs="Times New Roman"/>
          <w:sz w:val="28"/>
          <w:szCs w:val="28"/>
        </w:rPr>
        <w:t>ntioned were of his subordinate</w:t>
      </w:r>
      <w:r w:rsidRPr="006319C6">
        <w:rPr>
          <w:rFonts w:ascii="Bookman Old Style" w:hAnsi="Bookman Old Style" w:cs="Times New Roman"/>
          <w:sz w:val="28"/>
          <w:szCs w:val="28"/>
        </w:rPr>
        <w:t xml:space="preserve"> officers who were sent by the Yugoslav Army (</w:t>
      </w:r>
      <w:proofErr w:type="spellStart"/>
      <w:r w:rsidRPr="006319C6">
        <w:rPr>
          <w:rFonts w:ascii="Bookman Old Style" w:hAnsi="Bookman Old Style" w:cs="Times New Roman"/>
          <w:i/>
          <w:sz w:val="28"/>
          <w:szCs w:val="28"/>
        </w:rPr>
        <w:t>Vojska</w:t>
      </w:r>
      <w:proofErr w:type="spellEnd"/>
      <w:r w:rsidRPr="006319C6">
        <w:rPr>
          <w:rFonts w:ascii="Bookman Old Style" w:hAnsi="Bookman Old Style" w:cs="Times New Roman"/>
          <w:i/>
          <w:sz w:val="28"/>
          <w:szCs w:val="28"/>
        </w:rPr>
        <w:t xml:space="preserve"> </w:t>
      </w:r>
      <w:proofErr w:type="spellStart"/>
      <w:r w:rsidRPr="006319C6">
        <w:rPr>
          <w:rFonts w:ascii="Bookman Old Style" w:hAnsi="Bookman Old Style" w:cs="Times New Roman"/>
          <w:i/>
          <w:sz w:val="28"/>
          <w:szCs w:val="28"/>
        </w:rPr>
        <w:t>Jugoslavije</w:t>
      </w:r>
      <w:proofErr w:type="spellEnd"/>
      <w:r w:rsidR="00C14C96" w:rsidRPr="006319C6">
        <w:rPr>
          <w:rFonts w:ascii="Bookman Old Style" w:hAnsi="Bookman Old Style" w:cs="Times New Roman"/>
          <w:sz w:val="28"/>
          <w:szCs w:val="28"/>
        </w:rPr>
        <w:t xml:space="preserve"> –</w:t>
      </w:r>
      <w:r w:rsidR="00C14C96" w:rsidRPr="006319C6">
        <w:rPr>
          <w:rFonts w:ascii="Bookman Old Style" w:hAnsi="Bookman Old Style" w:cs="Times New Roman"/>
          <w:i/>
          <w:sz w:val="28"/>
          <w:szCs w:val="28"/>
        </w:rPr>
        <w:t xml:space="preserve"> V</w:t>
      </w:r>
      <w:r w:rsidRPr="006319C6">
        <w:rPr>
          <w:rFonts w:ascii="Bookman Old Style" w:hAnsi="Bookman Old Style" w:cs="Times New Roman"/>
          <w:i/>
          <w:sz w:val="28"/>
          <w:szCs w:val="28"/>
        </w:rPr>
        <w:t>J</w:t>
      </w:r>
      <w:r w:rsidRPr="006319C6">
        <w:rPr>
          <w:rFonts w:ascii="Bookman Old Style" w:hAnsi="Bookman Old Style" w:cs="Times New Roman"/>
          <w:sz w:val="28"/>
          <w:szCs w:val="28"/>
        </w:rPr>
        <w:t xml:space="preserve">) to fight for the Army of </w:t>
      </w:r>
      <w:proofErr w:type="spellStart"/>
      <w:r w:rsidRPr="006319C6">
        <w:rPr>
          <w:rFonts w:ascii="Bookman Old Style" w:hAnsi="Bookman Old Style" w:cs="Times New Roman"/>
          <w:sz w:val="28"/>
          <w:szCs w:val="28"/>
        </w:rPr>
        <w:t>Republika</w:t>
      </w:r>
      <w:proofErr w:type="spellEnd"/>
      <w:r w:rsidRPr="006319C6">
        <w:rPr>
          <w:rFonts w:ascii="Bookman Old Style" w:hAnsi="Bookman Old Style" w:cs="Times New Roman"/>
          <w:sz w:val="28"/>
          <w:szCs w:val="28"/>
        </w:rPr>
        <w:t xml:space="preserve"> </w:t>
      </w:r>
      <w:proofErr w:type="spellStart"/>
      <w:r w:rsidRPr="006319C6">
        <w:rPr>
          <w:rFonts w:ascii="Bookman Old Style" w:hAnsi="Bookman Old Style" w:cs="Times New Roman"/>
          <w:sz w:val="28"/>
          <w:szCs w:val="28"/>
        </w:rPr>
        <w:t>Srpska</w:t>
      </w:r>
      <w:proofErr w:type="spellEnd"/>
      <w:r w:rsidRPr="006319C6">
        <w:rPr>
          <w:rFonts w:ascii="Bookman Old Style" w:hAnsi="Bookman Old Style" w:cs="Times New Roman"/>
          <w:sz w:val="28"/>
          <w:szCs w:val="28"/>
        </w:rPr>
        <w:t xml:space="preserve"> (</w:t>
      </w:r>
      <w:proofErr w:type="spellStart"/>
      <w:r w:rsidR="00C14C96" w:rsidRPr="006319C6">
        <w:rPr>
          <w:rFonts w:ascii="Bookman Old Style" w:hAnsi="Bookman Old Style" w:cs="Times New Roman"/>
          <w:i/>
          <w:sz w:val="28"/>
          <w:szCs w:val="28"/>
        </w:rPr>
        <w:t>Vojska</w:t>
      </w:r>
      <w:proofErr w:type="spellEnd"/>
      <w:r w:rsidR="00C14C96" w:rsidRPr="006319C6">
        <w:rPr>
          <w:rFonts w:ascii="Bookman Old Style" w:hAnsi="Bookman Old Style" w:cs="Times New Roman"/>
          <w:i/>
          <w:sz w:val="28"/>
          <w:szCs w:val="28"/>
        </w:rPr>
        <w:t xml:space="preserve"> </w:t>
      </w:r>
      <w:proofErr w:type="spellStart"/>
      <w:r w:rsidR="00C14C96" w:rsidRPr="006319C6">
        <w:rPr>
          <w:rFonts w:ascii="Bookman Old Style" w:hAnsi="Bookman Old Style" w:cs="Times New Roman"/>
          <w:i/>
          <w:sz w:val="28"/>
          <w:szCs w:val="28"/>
        </w:rPr>
        <w:t>Republike</w:t>
      </w:r>
      <w:proofErr w:type="spellEnd"/>
      <w:r w:rsidR="00C14C96" w:rsidRPr="006319C6">
        <w:rPr>
          <w:rFonts w:ascii="Bookman Old Style" w:hAnsi="Bookman Old Style" w:cs="Times New Roman"/>
          <w:i/>
          <w:sz w:val="28"/>
          <w:szCs w:val="28"/>
        </w:rPr>
        <w:t xml:space="preserve"> </w:t>
      </w:r>
      <w:proofErr w:type="spellStart"/>
      <w:r w:rsidR="00C14C96" w:rsidRPr="006319C6">
        <w:rPr>
          <w:rFonts w:ascii="Bookman Old Style" w:hAnsi="Bookman Old Style" w:cs="Times New Roman"/>
          <w:i/>
          <w:sz w:val="28"/>
          <w:szCs w:val="28"/>
        </w:rPr>
        <w:t>Srpske</w:t>
      </w:r>
      <w:proofErr w:type="spellEnd"/>
      <w:r w:rsidR="00C14C96" w:rsidRPr="006319C6">
        <w:rPr>
          <w:rFonts w:ascii="Bookman Old Style" w:hAnsi="Bookman Old Style" w:cs="Times New Roman"/>
          <w:i/>
          <w:sz w:val="28"/>
          <w:szCs w:val="28"/>
        </w:rPr>
        <w:t xml:space="preserve"> – </w:t>
      </w:r>
      <w:r w:rsidRPr="006319C6">
        <w:rPr>
          <w:rFonts w:ascii="Bookman Old Style" w:hAnsi="Bookman Old Style" w:cs="Times New Roman"/>
          <w:i/>
          <w:sz w:val="28"/>
          <w:szCs w:val="28"/>
        </w:rPr>
        <w:t>VRS</w:t>
      </w:r>
      <w:r w:rsidRPr="006319C6">
        <w:rPr>
          <w:rFonts w:ascii="Bookman Old Style" w:hAnsi="Bookman Old Style" w:cs="Times New Roman"/>
          <w:sz w:val="28"/>
          <w:szCs w:val="28"/>
        </w:rPr>
        <w:t>)</w:t>
      </w:r>
      <w:r w:rsidR="008A51B1"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w:t>
      </w:r>
      <w:r w:rsidR="00EA64F1" w:rsidRPr="006319C6">
        <w:rPr>
          <w:rFonts w:ascii="Bookman Old Style" w:hAnsi="Bookman Old Style" w:cs="Times New Roman"/>
          <w:sz w:val="28"/>
          <w:szCs w:val="28"/>
        </w:rPr>
        <w:t xml:space="preserve">many </w:t>
      </w:r>
      <w:r w:rsidRPr="006319C6">
        <w:rPr>
          <w:rFonts w:ascii="Bookman Old Style" w:hAnsi="Bookman Old Style" w:cs="Times New Roman"/>
          <w:sz w:val="28"/>
          <w:szCs w:val="28"/>
        </w:rPr>
        <w:t>of whom have been tried and some convicted by the ICTY.</w:t>
      </w:r>
      <w:r w:rsidRPr="006319C6">
        <w:rPr>
          <w:rStyle w:val="FootnoteReference"/>
          <w:rFonts w:ascii="Bookman Old Style" w:hAnsi="Bookman Old Style"/>
          <w:sz w:val="28"/>
          <w:szCs w:val="28"/>
        </w:rPr>
        <w:footnoteReference w:id="53"/>
      </w:r>
      <w:r w:rsidRPr="006319C6">
        <w:rPr>
          <w:rFonts w:ascii="Bookman Old Style" w:hAnsi="Bookman Old Style" w:cs="Times New Roman"/>
          <w:sz w:val="28"/>
          <w:szCs w:val="28"/>
        </w:rPr>
        <w:t xml:space="preserve"> Neither General </w:t>
      </w:r>
      <w:proofErr w:type="spellStart"/>
      <w:r w:rsidRPr="006319C6">
        <w:rPr>
          <w:rFonts w:ascii="Bookman Old Style" w:hAnsi="Bookman Old Style" w:cs="Times New Roman"/>
          <w:sz w:val="28"/>
          <w:szCs w:val="28"/>
        </w:rPr>
        <w:t>Perišić’s</w:t>
      </w:r>
      <w:proofErr w:type="spellEnd"/>
      <w:r w:rsidRPr="006319C6">
        <w:rPr>
          <w:rFonts w:ascii="Bookman Old Style" w:hAnsi="Bookman Old Style" w:cs="Times New Roman"/>
          <w:sz w:val="28"/>
          <w:szCs w:val="28"/>
        </w:rPr>
        <w:t xml:space="preserve"> indictment nor the Prosecution evidence connected General </w:t>
      </w:r>
      <w:proofErr w:type="spellStart"/>
      <w:r w:rsidRPr="006319C6">
        <w:rPr>
          <w:rFonts w:ascii="Bookman Old Style" w:hAnsi="Bookman Old Style" w:cs="Times New Roman"/>
          <w:sz w:val="28"/>
          <w:szCs w:val="28"/>
        </w:rPr>
        <w:t>Perišić</w:t>
      </w:r>
      <w:proofErr w:type="spellEnd"/>
      <w:r w:rsidRPr="006319C6">
        <w:rPr>
          <w:rFonts w:ascii="Bookman Old Style" w:hAnsi="Bookman Old Style" w:cs="Times New Roman"/>
          <w:sz w:val="28"/>
          <w:szCs w:val="28"/>
        </w:rPr>
        <w:t xml:space="preserve">, with any </w:t>
      </w:r>
      <w:r w:rsidRPr="006319C6">
        <w:rPr>
          <w:rFonts w:ascii="Bookman Old Style" w:hAnsi="Bookman Old Style" w:cs="Times New Roman"/>
          <w:i/>
          <w:sz w:val="28"/>
          <w:szCs w:val="28"/>
        </w:rPr>
        <w:t>de jure</w:t>
      </w:r>
      <w:r w:rsidRPr="006319C6">
        <w:rPr>
          <w:rFonts w:ascii="Bookman Old Style" w:hAnsi="Bookman Old Style" w:cs="Times New Roman"/>
          <w:sz w:val="28"/>
          <w:szCs w:val="28"/>
        </w:rPr>
        <w:t xml:space="preserve"> political structures such as the SDC</w:t>
      </w:r>
      <w:r w:rsidR="0020596C"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or </w:t>
      </w:r>
      <w:r w:rsidRPr="006319C6">
        <w:rPr>
          <w:rFonts w:ascii="Bookman Old Style" w:hAnsi="Bookman Old Style" w:cs="Times New Roman"/>
          <w:i/>
          <w:sz w:val="28"/>
          <w:szCs w:val="28"/>
        </w:rPr>
        <w:t>de facto</w:t>
      </w:r>
      <w:r w:rsidRPr="006319C6">
        <w:rPr>
          <w:rFonts w:ascii="Bookman Old Style" w:hAnsi="Bookman Old Style" w:cs="Times New Roman"/>
          <w:sz w:val="28"/>
          <w:szCs w:val="28"/>
        </w:rPr>
        <w:t xml:space="preserve"> lines of communication with any members of the SDC, such as </w:t>
      </w:r>
      <w:proofErr w:type="spellStart"/>
      <w:r w:rsidRPr="006319C6">
        <w:rPr>
          <w:rFonts w:ascii="Bookman Old Style" w:hAnsi="Bookman Old Style" w:cs="Times New Roman"/>
          <w:sz w:val="28"/>
          <w:szCs w:val="28"/>
        </w:rPr>
        <w:t>Dobrica</w:t>
      </w:r>
      <w:proofErr w:type="spellEnd"/>
      <w:r w:rsidRPr="006319C6">
        <w:rPr>
          <w:rFonts w:ascii="Bookman Old Style" w:hAnsi="Bookman Old Style" w:cs="Times New Roman"/>
          <w:sz w:val="28"/>
          <w:szCs w:val="28"/>
        </w:rPr>
        <w:t xml:space="preserve"> </w:t>
      </w:r>
      <w:proofErr w:type="spellStart"/>
      <w:r w:rsidRPr="006319C6">
        <w:rPr>
          <w:rFonts w:ascii="Bookman Old Style" w:hAnsi="Bookman Old Style" w:cs="Times New Roman"/>
          <w:sz w:val="28"/>
          <w:szCs w:val="28"/>
        </w:rPr>
        <w:t>Ćosić</w:t>
      </w:r>
      <w:proofErr w:type="spellEnd"/>
      <w:r w:rsidRPr="006319C6">
        <w:rPr>
          <w:rFonts w:ascii="Bookman Old Style" w:hAnsi="Bookman Old Style" w:cs="Times New Roman"/>
          <w:sz w:val="28"/>
          <w:szCs w:val="28"/>
        </w:rPr>
        <w:t xml:space="preserve"> and </w:t>
      </w:r>
      <w:proofErr w:type="spellStart"/>
      <w:r w:rsidRPr="006319C6">
        <w:rPr>
          <w:rFonts w:ascii="Bookman Old Style" w:hAnsi="Bookman Old Style" w:cs="Times New Roman"/>
          <w:sz w:val="28"/>
          <w:szCs w:val="28"/>
        </w:rPr>
        <w:t>Zoran</w:t>
      </w:r>
      <w:proofErr w:type="spellEnd"/>
      <w:r w:rsidRPr="006319C6">
        <w:rPr>
          <w:rFonts w:ascii="Bookman Old Style" w:hAnsi="Bookman Old Style" w:cs="Times New Roman"/>
          <w:sz w:val="28"/>
          <w:szCs w:val="28"/>
        </w:rPr>
        <w:t xml:space="preserve"> </w:t>
      </w:r>
      <w:proofErr w:type="spellStart"/>
      <w:r w:rsidRPr="006319C6">
        <w:rPr>
          <w:rFonts w:ascii="Bookman Old Style" w:hAnsi="Bookman Old Style" w:cs="Times New Roman"/>
          <w:sz w:val="28"/>
          <w:szCs w:val="28"/>
        </w:rPr>
        <w:t>Lilić</w:t>
      </w:r>
      <w:proofErr w:type="spellEnd"/>
      <w:r w:rsidRPr="006319C6">
        <w:rPr>
          <w:rFonts w:ascii="Bookman Old Style" w:hAnsi="Bookman Old Style" w:cs="Times New Roman"/>
          <w:sz w:val="28"/>
          <w:szCs w:val="28"/>
        </w:rPr>
        <w:t xml:space="preserve">, two former </w:t>
      </w:r>
      <w:r w:rsidR="00EA64F1" w:rsidRPr="006319C6">
        <w:rPr>
          <w:rFonts w:ascii="Bookman Old Style" w:hAnsi="Bookman Old Style" w:cs="Times New Roman"/>
          <w:sz w:val="28"/>
          <w:szCs w:val="28"/>
        </w:rPr>
        <w:t>Presidents</w:t>
      </w:r>
      <w:r w:rsidRPr="006319C6">
        <w:rPr>
          <w:rFonts w:ascii="Bookman Old Style" w:hAnsi="Bookman Old Style" w:cs="Times New Roman"/>
          <w:sz w:val="28"/>
          <w:szCs w:val="28"/>
        </w:rPr>
        <w:t xml:space="preserve"> of</w:t>
      </w:r>
      <w:r w:rsidR="00EA64F1" w:rsidRPr="006319C6">
        <w:rPr>
          <w:rFonts w:ascii="Bookman Old Style" w:hAnsi="Bookman Old Style" w:cs="Times New Roman"/>
          <w:sz w:val="28"/>
          <w:szCs w:val="28"/>
        </w:rPr>
        <w:t xml:space="preserve"> the</w:t>
      </w:r>
      <w:r w:rsidRPr="006319C6">
        <w:rPr>
          <w:rFonts w:ascii="Bookman Old Style" w:hAnsi="Bookman Old Style" w:cs="Times New Roman"/>
          <w:sz w:val="28"/>
          <w:szCs w:val="28"/>
        </w:rPr>
        <w:t xml:space="preserve"> Federal Republic of Yugoslavia who </w:t>
      </w:r>
      <w:r w:rsidR="00EA64F1" w:rsidRPr="006319C6">
        <w:rPr>
          <w:rFonts w:ascii="Bookman Old Style" w:hAnsi="Bookman Old Style" w:cs="Times New Roman"/>
          <w:sz w:val="28"/>
          <w:szCs w:val="28"/>
        </w:rPr>
        <w:t>had been</w:t>
      </w:r>
      <w:r w:rsidRPr="006319C6">
        <w:rPr>
          <w:rFonts w:ascii="Bookman Old Style" w:hAnsi="Bookman Old Style" w:cs="Times New Roman"/>
          <w:sz w:val="28"/>
          <w:szCs w:val="28"/>
        </w:rPr>
        <w:t xml:space="preserve"> presiding members </w:t>
      </w:r>
      <w:r w:rsidR="0020596C" w:rsidRPr="006319C6">
        <w:rPr>
          <w:rFonts w:ascii="Bookman Old Style" w:hAnsi="Bookman Old Style" w:cs="Times New Roman"/>
          <w:sz w:val="28"/>
          <w:szCs w:val="28"/>
        </w:rPr>
        <w:t xml:space="preserve">of the SDC during the war in Bosnia and </w:t>
      </w:r>
      <w:proofErr w:type="spellStart"/>
      <w:r w:rsidR="0020596C" w:rsidRPr="006319C6">
        <w:rPr>
          <w:rFonts w:ascii="Bookman Old Style" w:hAnsi="Bookman Old Style" w:cs="Times New Roman"/>
          <w:sz w:val="28"/>
          <w:szCs w:val="28"/>
        </w:rPr>
        <w:t>Herzogovina</w:t>
      </w:r>
      <w:proofErr w:type="spellEnd"/>
      <w:r w:rsidRPr="006319C6">
        <w:rPr>
          <w:rFonts w:ascii="Bookman Old Style" w:hAnsi="Bookman Old Style" w:cs="Times New Roman"/>
          <w:sz w:val="28"/>
          <w:szCs w:val="28"/>
        </w:rPr>
        <w:t xml:space="preserve">, or with </w:t>
      </w:r>
      <w:proofErr w:type="spellStart"/>
      <w:r w:rsidRPr="006319C6">
        <w:rPr>
          <w:rFonts w:ascii="Bookman Old Style" w:hAnsi="Bookman Old Style" w:cs="Times New Roman"/>
          <w:sz w:val="28"/>
          <w:szCs w:val="28"/>
        </w:rPr>
        <w:t>Momir</w:t>
      </w:r>
      <w:proofErr w:type="spellEnd"/>
      <w:r w:rsidRPr="006319C6">
        <w:rPr>
          <w:rFonts w:ascii="Bookman Old Style" w:hAnsi="Bookman Old Style" w:cs="Times New Roman"/>
          <w:sz w:val="28"/>
          <w:szCs w:val="28"/>
        </w:rPr>
        <w:t xml:space="preserve"> </w:t>
      </w:r>
      <w:proofErr w:type="spellStart"/>
      <w:r w:rsidRPr="006319C6">
        <w:rPr>
          <w:rFonts w:ascii="Bookman Old Style" w:hAnsi="Bookman Old Style" w:cs="Times New Roman"/>
          <w:sz w:val="28"/>
          <w:szCs w:val="28"/>
        </w:rPr>
        <w:t>Bulatović</w:t>
      </w:r>
      <w:proofErr w:type="spellEnd"/>
      <w:r w:rsidRPr="006319C6">
        <w:rPr>
          <w:rFonts w:ascii="Bookman Old Style" w:hAnsi="Bookman Old Style" w:cs="Times New Roman"/>
          <w:sz w:val="28"/>
          <w:szCs w:val="28"/>
        </w:rPr>
        <w:t xml:space="preserve"> and Slobodan </w:t>
      </w:r>
      <w:proofErr w:type="spellStart"/>
      <w:r w:rsidRPr="006319C6">
        <w:rPr>
          <w:rFonts w:ascii="Bookman Old Style" w:hAnsi="Bookman Old Style" w:cs="Times New Roman"/>
          <w:sz w:val="28"/>
          <w:szCs w:val="28"/>
        </w:rPr>
        <w:t>Milošević</w:t>
      </w:r>
      <w:proofErr w:type="spellEnd"/>
      <w:r w:rsidRPr="006319C6">
        <w:rPr>
          <w:rFonts w:ascii="Bookman Old Style" w:hAnsi="Bookman Old Style" w:cs="Times New Roman"/>
          <w:sz w:val="28"/>
          <w:szCs w:val="28"/>
        </w:rPr>
        <w:t xml:space="preserve">, two other voting members </w:t>
      </w:r>
      <w:r w:rsidR="0020596C" w:rsidRPr="006319C6">
        <w:rPr>
          <w:rFonts w:ascii="Bookman Old Style" w:hAnsi="Bookman Old Style" w:cs="Times New Roman"/>
          <w:sz w:val="28"/>
          <w:szCs w:val="28"/>
        </w:rPr>
        <w:t xml:space="preserve">of the SDC during the war in Bosnia and </w:t>
      </w:r>
      <w:proofErr w:type="spellStart"/>
      <w:r w:rsidR="0020596C" w:rsidRPr="006319C6">
        <w:rPr>
          <w:rFonts w:ascii="Bookman Old Style" w:hAnsi="Bookman Old Style" w:cs="Times New Roman"/>
          <w:sz w:val="28"/>
          <w:szCs w:val="28"/>
        </w:rPr>
        <w:t>Herzogovina</w:t>
      </w:r>
      <w:proofErr w:type="spellEnd"/>
      <w:r w:rsidRPr="006319C6">
        <w:rPr>
          <w:rFonts w:ascii="Bookman Old Style" w:hAnsi="Bookman Old Style" w:cs="Times New Roman"/>
          <w:sz w:val="28"/>
          <w:szCs w:val="28"/>
        </w:rPr>
        <w:t>.</w:t>
      </w:r>
    </w:p>
    <w:p w14:paraId="49CEFA72" w14:textId="3D260B6E" w:rsidR="00C80E96" w:rsidRPr="006319C6" w:rsidRDefault="00C80E96" w:rsidP="00A9165D">
      <w:pPr>
        <w:jc w:val="both"/>
        <w:rPr>
          <w:rFonts w:ascii="Bookman Old Style" w:hAnsi="Bookman Old Style" w:cs="Times New Roman"/>
          <w:sz w:val="28"/>
          <w:szCs w:val="28"/>
        </w:rPr>
      </w:pPr>
      <w:r w:rsidRPr="006319C6">
        <w:rPr>
          <w:rFonts w:ascii="Bookman Old Style" w:hAnsi="Bookman Old Style" w:cs="Times New Roman"/>
          <w:sz w:val="28"/>
          <w:szCs w:val="28"/>
        </w:rPr>
        <w:tab/>
        <w:t xml:space="preserve">The 2013 Appeals Chamber’s Judgment determined that </w:t>
      </w:r>
      <w:proofErr w:type="spellStart"/>
      <w:r w:rsidRPr="006319C6">
        <w:rPr>
          <w:rFonts w:ascii="Bookman Old Style" w:hAnsi="Bookman Old Style" w:cs="Times New Roman"/>
          <w:sz w:val="28"/>
          <w:szCs w:val="28"/>
        </w:rPr>
        <w:t>Perišić</w:t>
      </w:r>
      <w:proofErr w:type="spellEnd"/>
      <w:r w:rsidRPr="006319C6">
        <w:rPr>
          <w:rFonts w:ascii="Bookman Old Style" w:hAnsi="Bookman Old Style" w:cs="Times New Roman"/>
          <w:sz w:val="28"/>
          <w:szCs w:val="28"/>
        </w:rPr>
        <w:t xml:space="preserve">, who was chief of staff of the VJ in the critical period when crimes charged in the </w:t>
      </w:r>
      <w:r w:rsidR="0020596C" w:rsidRPr="006319C6">
        <w:rPr>
          <w:rFonts w:ascii="Bookman Old Style" w:hAnsi="Bookman Old Style" w:cs="Times New Roman"/>
          <w:sz w:val="28"/>
          <w:szCs w:val="28"/>
        </w:rPr>
        <w:t xml:space="preserve">indictment were committed in Bosnia and </w:t>
      </w:r>
      <w:proofErr w:type="spellStart"/>
      <w:r w:rsidR="0020596C" w:rsidRPr="006319C6">
        <w:rPr>
          <w:rFonts w:ascii="Bookman Old Style" w:hAnsi="Bookman Old Style" w:cs="Times New Roman"/>
          <w:sz w:val="28"/>
          <w:szCs w:val="28"/>
        </w:rPr>
        <w:t>Herzogovina</w:t>
      </w:r>
      <w:proofErr w:type="spellEnd"/>
      <w:r w:rsidRPr="006319C6">
        <w:rPr>
          <w:rFonts w:ascii="Bookman Old Style" w:hAnsi="Bookman Old Style" w:cs="Times New Roman"/>
          <w:sz w:val="28"/>
          <w:szCs w:val="28"/>
        </w:rPr>
        <w:t xml:space="preserve">, was subordinated to then FRY President, </w:t>
      </w:r>
      <w:proofErr w:type="spellStart"/>
      <w:r w:rsidRPr="006319C6">
        <w:rPr>
          <w:rFonts w:ascii="Bookman Old Style" w:hAnsi="Bookman Old Style" w:cs="Times New Roman"/>
          <w:sz w:val="28"/>
          <w:szCs w:val="28"/>
        </w:rPr>
        <w:t>Zoran</w:t>
      </w:r>
      <w:proofErr w:type="spellEnd"/>
      <w:r w:rsidRPr="006319C6">
        <w:rPr>
          <w:rFonts w:ascii="Bookman Old Style" w:hAnsi="Bookman Old Style" w:cs="Times New Roman"/>
          <w:sz w:val="28"/>
          <w:szCs w:val="28"/>
        </w:rPr>
        <w:t xml:space="preserve"> </w:t>
      </w:r>
      <w:proofErr w:type="spellStart"/>
      <w:r w:rsidRPr="006319C6">
        <w:rPr>
          <w:rFonts w:ascii="Bookman Old Style" w:hAnsi="Bookman Old Style" w:cs="Times New Roman"/>
          <w:sz w:val="28"/>
          <w:szCs w:val="28"/>
        </w:rPr>
        <w:t>Lilić</w:t>
      </w:r>
      <w:proofErr w:type="spellEnd"/>
      <w:r w:rsidRPr="006319C6">
        <w:rPr>
          <w:rFonts w:ascii="Bookman Old Style" w:hAnsi="Bookman Old Style" w:cs="Times New Roman"/>
          <w:sz w:val="28"/>
          <w:szCs w:val="28"/>
        </w:rPr>
        <w:t xml:space="preserve"> – who was never named a </w:t>
      </w:r>
      <w:r w:rsidRPr="006319C6">
        <w:rPr>
          <w:rFonts w:ascii="Bookman Old Style" w:hAnsi="Bookman Old Style" w:cs="Times New Roman"/>
          <w:sz w:val="28"/>
          <w:szCs w:val="28"/>
        </w:rPr>
        <w:lastRenderedPageBreak/>
        <w:t>member of a JCE no</w:t>
      </w:r>
      <w:r w:rsidR="00587B2E" w:rsidRPr="006319C6">
        <w:rPr>
          <w:rFonts w:ascii="Bookman Old Style" w:hAnsi="Bookman Old Style" w:cs="Times New Roman"/>
          <w:sz w:val="28"/>
          <w:szCs w:val="28"/>
        </w:rPr>
        <w:t>r was he indicted at any court.</w:t>
      </w:r>
      <w:r w:rsidRPr="006319C6">
        <w:rPr>
          <w:rFonts w:ascii="Bookman Old Style" w:hAnsi="Bookman Old Style" w:cs="Times New Roman"/>
          <w:sz w:val="28"/>
          <w:szCs w:val="28"/>
        </w:rPr>
        <w:t xml:space="preserve"> The Judgment further recounts that, although </w:t>
      </w:r>
      <w:proofErr w:type="spellStart"/>
      <w:r w:rsidRPr="006319C6">
        <w:rPr>
          <w:rFonts w:ascii="Bookman Old Style" w:hAnsi="Bookman Old Style" w:cs="Times New Roman"/>
          <w:sz w:val="28"/>
          <w:szCs w:val="28"/>
        </w:rPr>
        <w:t>Perišic</w:t>
      </w:r>
      <w:proofErr w:type="spellEnd"/>
      <w:r w:rsidRPr="006319C6">
        <w:rPr>
          <w:rFonts w:ascii="Bookman Old Style" w:hAnsi="Bookman Old Style" w:cs="Times New Roman"/>
          <w:sz w:val="28"/>
          <w:szCs w:val="28"/>
        </w:rPr>
        <w:t>́ was one of many individuals participating at SDC meetings, the final decisions were taken by the President of the FRY, the President of Serbia</w:t>
      </w:r>
      <w:r w:rsidR="00587B2E"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and the President of Montenegro.</w:t>
      </w:r>
      <w:r w:rsidRPr="006319C6">
        <w:rPr>
          <w:rStyle w:val="FootnoteReference"/>
          <w:rFonts w:ascii="Bookman Old Style" w:hAnsi="Bookman Old Style"/>
          <w:color w:val="000000"/>
          <w:sz w:val="28"/>
          <w:szCs w:val="28"/>
        </w:rPr>
        <w:footnoteReference w:id="54"/>
      </w:r>
      <w:r w:rsidRPr="006319C6">
        <w:rPr>
          <w:rFonts w:ascii="Bookman Old Style" w:hAnsi="Bookman Old Style" w:cs="Times New Roman"/>
          <w:sz w:val="28"/>
          <w:szCs w:val="28"/>
        </w:rPr>
        <w:t xml:space="preserve">  </w:t>
      </w:r>
    </w:p>
    <w:p w14:paraId="637F0CD6" w14:textId="77777777" w:rsidR="009E1765" w:rsidRPr="006319C6" w:rsidRDefault="00C80E96" w:rsidP="00A9165D">
      <w:pPr>
        <w:widowControl w:val="0"/>
        <w:autoSpaceDE w:val="0"/>
        <w:autoSpaceDN w:val="0"/>
        <w:adjustRightInd w:val="0"/>
        <w:jc w:val="both"/>
        <w:rPr>
          <w:rFonts w:ascii="Bookman Old Style" w:hAnsi="Bookman Old Style" w:cs="Times New Roman"/>
          <w:sz w:val="28"/>
          <w:szCs w:val="28"/>
        </w:rPr>
      </w:pPr>
      <w:r w:rsidRPr="006319C6">
        <w:rPr>
          <w:rFonts w:ascii="Bookman Old Style" w:hAnsi="Bookman Old Style" w:cs="Times New Roman"/>
          <w:sz w:val="28"/>
          <w:szCs w:val="28"/>
        </w:rPr>
        <w:tab/>
        <w:t xml:space="preserve">According to the Judgment, the decision to provide VJ assistance to the VRS was adopted by the SDC before </w:t>
      </w:r>
      <w:proofErr w:type="spellStart"/>
      <w:r w:rsidRPr="006319C6">
        <w:rPr>
          <w:rFonts w:ascii="Bookman Old Style" w:hAnsi="Bookman Old Style" w:cs="Times New Roman"/>
          <w:sz w:val="28"/>
          <w:szCs w:val="28"/>
        </w:rPr>
        <w:t>Perišic</w:t>
      </w:r>
      <w:proofErr w:type="spellEnd"/>
      <w:r w:rsidRPr="006319C6">
        <w:rPr>
          <w:rFonts w:ascii="Bookman Old Style" w:hAnsi="Bookman Old Style" w:cs="Times New Roman"/>
          <w:sz w:val="28"/>
          <w:szCs w:val="28"/>
        </w:rPr>
        <w:t xml:space="preserve">́ was appointed Chief of the VJ General Staff in 1993.  This assistance </w:t>
      </w:r>
      <w:r w:rsidRPr="006319C6">
        <w:rPr>
          <w:rFonts w:ascii="Bookman Old Style" w:hAnsi="Bookman Old Style" w:cs="Bookman Old Style"/>
          <w:sz w:val="28"/>
          <w:szCs w:val="28"/>
        </w:rPr>
        <w:t>–</w:t>
      </w:r>
      <w:r w:rsidRPr="006319C6">
        <w:rPr>
          <w:rFonts w:ascii="Bookman Old Style" w:hAnsi="Bookman Old Style" w:cs="Times New Roman"/>
          <w:sz w:val="28"/>
          <w:szCs w:val="28"/>
        </w:rPr>
        <w:t xml:space="preserve"> and its considerati</w:t>
      </w:r>
      <w:r w:rsidR="00587B2E" w:rsidRPr="006319C6">
        <w:rPr>
          <w:rFonts w:ascii="Bookman Old Style" w:hAnsi="Bookman Old Style" w:cs="Times New Roman"/>
          <w:sz w:val="28"/>
          <w:szCs w:val="28"/>
        </w:rPr>
        <w:t xml:space="preserve">on at SDC meetings he attended – </w:t>
      </w:r>
      <w:r w:rsidRPr="006319C6">
        <w:rPr>
          <w:rFonts w:ascii="Bookman Old Style" w:hAnsi="Bookman Old Style" w:cs="Times New Roman"/>
          <w:sz w:val="28"/>
          <w:szCs w:val="28"/>
        </w:rPr>
        <w:t xml:space="preserve">continued during </w:t>
      </w:r>
      <w:proofErr w:type="spellStart"/>
      <w:r w:rsidRPr="006319C6">
        <w:rPr>
          <w:rFonts w:ascii="Bookman Old Style" w:hAnsi="Bookman Old Style" w:cs="Times New Roman"/>
          <w:sz w:val="28"/>
          <w:szCs w:val="28"/>
        </w:rPr>
        <w:t>Perišic</w:t>
      </w:r>
      <w:proofErr w:type="spellEnd"/>
      <w:r w:rsidRPr="006319C6">
        <w:rPr>
          <w:rFonts w:ascii="Bookman Old Style" w:hAnsi="Bookman Old Style" w:cs="Times New Roman"/>
          <w:sz w:val="28"/>
          <w:szCs w:val="28"/>
        </w:rPr>
        <w:t>́</w:t>
      </w:r>
      <w:r w:rsidRPr="006319C6">
        <w:rPr>
          <w:rFonts w:ascii="Bookman Old Style" w:hAnsi="Bookman Old Style" w:cs="Bookman Old Style"/>
          <w:sz w:val="28"/>
          <w:szCs w:val="28"/>
        </w:rPr>
        <w:t>’</w:t>
      </w:r>
      <w:r w:rsidRPr="006319C6">
        <w:rPr>
          <w:rFonts w:ascii="Bookman Old Style" w:hAnsi="Bookman Old Style" w:cs="Times New Roman"/>
          <w:sz w:val="28"/>
          <w:szCs w:val="28"/>
        </w:rPr>
        <w:t>s term of office with the SDC reviewing both particular requests for assistance and the general policy of provid</w:t>
      </w:r>
      <w:r w:rsidR="00185926" w:rsidRPr="006319C6">
        <w:rPr>
          <w:rFonts w:ascii="Bookman Old Style" w:hAnsi="Bookman Old Style" w:cs="Times New Roman"/>
          <w:sz w:val="28"/>
          <w:szCs w:val="28"/>
        </w:rPr>
        <w:t>ing aid to the VRS and the SVK.</w:t>
      </w:r>
      <w:r w:rsidRPr="006319C6">
        <w:rPr>
          <w:rFonts w:ascii="Bookman Old Style" w:hAnsi="Bookman Old Style" w:cs="Times New Roman"/>
          <w:sz w:val="28"/>
          <w:szCs w:val="28"/>
        </w:rPr>
        <w:t xml:space="preserve"> The Appeals Chamber did find the VRS to be linked to the crimes against civilians but added that not all VRS activities were criminal in nature. The Appeal Chamber further considered whether </w:t>
      </w:r>
      <w:proofErr w:type="spellStart"/>
      <w:r w:rsidRPr="006319C6">
        <w:rPr>
          <w:rFonts w:ascii="Bookman Old Style" w:hAnsi="Bookman Old Style" w:cs="Times New Roman"/>
          <w:sz w:val="28"/>
          <w:szCs w:val="28"/>
        </w:rPr>
        <w:t>Perišic</w:t>
      </w:r>
      <w:proofErr w:type="spellEnd"/>
      <w:r w:rsidRPr="006319C6">
        <w:rPr>
          <w:rFonts w:ascii="Bookman Old Style" w:hAnsi="Bookman Old Style" w:cs="Times New Roman"/>
          <w:sz w:val="28"/>
          <w:szCs w:val="28"/>
        </w:rPr>
        <w:t xml:space="preserve">́ implemented the SDC policy of assisting the VRS war effort in a manner that redirected aid towards VRS </w:t>
      </w:r>
    </w:p>
    <w:p w14:paraId="052962D6" w14:textId="77777777" w:rsidR="009E1765" w:rsidRPr="006319C6" w:rsidRDefault="009E1765" w:rsidP="00A9165D">
      <w:pPr>
        <w:widowControl w:val="0"/>
        <w:autoSpaceDE w:val="0"/>
        <w:autoSpaceDN w:val="0"/>
        <w:adjustRightInd w:val="0"/>
        <w:jc w:val="both"/>
        <w:rPr>
          <w:rFonts w:ascii="Bookman Old Style" w:hAnsi="Bookman Old Style" w:cs="Times New Roman"/>
          <w:sz w:val="28"/>
          <w:szCs w:val="28"/>
        </w:rPr>
      </w:pPr>
    </w:p>
    <w:p w14:paraId="1FC16E0E" w14:textId="77777777" w:rsidR="009E1765" w:rsidRPr="006319C6" w:rsidRDefault="009E1765" w:rsidP="00A9165D">
      <w:pPr>
        <w:widowControl w:val="0"/>
        <w:autoSpaceDE w:val="0"/>
        <w:autoSpaceDN w:val="0"/>
        <w:adjustRightInd w:val="0"/>
        <w:jc w:val="both"/>
        <w:rPr>
          <w:rFonts w:ascii="Bookman Old Style" w:hAnsi="Bookman Old Style" w:cs="Times New Roman"/>
          <w:sz w:val="28"/>
          <w:szCs w:val="28"/>
        </w:rPr>
      </w:pPr>
    </w:p>
    <w:p w14:paraId="020ED4EB" w14:textId="1C1C4FAD" w:rsidR="009322AB" w:rsidRPr="006319C6" w:rsidRDefault="00C80E96" w:rsidP="00A9165D">
      <w:pPr>
        <w:widowControl w:val="0"/>
        <w:autoSpaceDE w:val="0"/>
        <w:autoSpaceDN w:val="0"/>
        <w:adjustRightInd w:val="0"/>
        <w:jc w:val="both"/>
        <w:rPr>
          <w:rFonts w:ascii="Bookman Old Style" w:hAnsi="Bookman Old Style" w:cs="Times New Roman"/>
          <w:sz w:val="28"/>
          <w:szCs w:val="28"/>
        </w:rPr>
      </w:pPr>
      <w:r w:rsidRPr="006319C6">
        <w:rPr>
          <w:rFonts w:ascii="Bookman Old Style" w:hAnsi="Bookman Old Style" w:cs="Times New Roman"/>
          <w:sz w:val="28"/>
          <w:szCs w:val="28"/>
        </w:rPr>
        <w:t xml:space="preserve">crimes and decided that evidence relating to General </w:t>
      </w:r>
      <w:proofErr w:type="spellStart"/>
      <w:r w:rsidRPr="006319C6">
        <w:rPr>
          <w:rFonts w:ascii="Bookman Old Style" w:hAnsi="Bookman Old Style" w:cs="Times New Roman"/>
          <w:sz w:val="28"/>
          <w:szCs w:val="28"/>
        </w:rPr>
        <w:t>Perišic</w:t>
      </w:r>
      <w:proofErr w:type="spellEnd"/>
      <w:r w:rsidRPr="006319C6">
        <w:rPr>
          <w:rFonts w:ascii="Bookman Old Style" w:hAnsi="Bookman Old Style" w:cs="Times New Roman"/>
          <w:sz w:val="28"/>
          <w:szCs w:val="28"/>
        </w:rPr>
        <w:t>́</w:t>
      </w:r>
      <w:r w:rsidRPr="006319C6">
        <w:rPr>
          <w:rFonts w:ascii="Bookman Old Style" w:hAnsi="Bookman Old Style" w:cs="Bookman Old Style"/>
          <w:sz w:val="28"/>
          <w:szCs w:val="28"/>
        </w:rPr>
        <w:t>’</w:t>
      </w:r>
      <w:r w:rsidRPr="006319C6">
        <w:rPr>
          <w:rFonts w:ascii="Bookman Old Style" w:hAnsi="Bookman Old Style" w:cs="Times New Roman"/>
          <w:sz w:val="28"/>
          <w:szCs w:val="28"/>
        </w:rPr>
        <w:t xml:space="preserve">s contributions at meetings of the SDC did not suggest that he advocated specifically directing aid to support VRS crimes, but that he simply supported the SDC policy of assisting the VRS. </w:t>
      </w:r>
    </w:p>
    <w:p w14:paraId="246AB471" w14:textId="5793A50F" w:rsidR="00C80E96" w:rsidRPr="006319C6" w:rsidRDefault="00E3418B" w:rsidP="00A9165D">
      <w:pPr>
        <w:widowControl w:val="0"/>
        <w:autoSpaceDE w:val="0"/>
        <w:autoSpaceDN w:val="0"/>
        <w:adjustRightInd w:val="0"/>
        <w:jc w:val="both"/>
        <w:rPr>
          <w:rFonts w:ascii="Bookman Old Style" w:hAnsi="Bookman Old Style" w:cs="Times New Roman"/>
          <w:sz w:val="28"/>
          <w:szCs w:val="28"/>
        </w:rPr>
      </w:pPr>
      <w:r w:rsidRPr="006319C6">
        <w:rPr>
          <w:rFonts w:ascii="Bookman Old Style" w:hAnsi="Bookman Old Style" w:cs="Times New Roman"/>
          <w:sz w:val="28"/>
          <w:szCs w:val="28"/>
        </w:rPr>
        <w:tab/>
      </w:r>
      <w:r w:rsidR="009322AB" w:rsidRPr="006319C6">
        <w:rPr>
          <w:rFonts w:ascii="Bookman Old Style" w:hAnsi="Bookman Old Style" w:cs="Times New Roman"/>
          <w:sz w:val="28"/>
          <w:szCs w:val="28"/>
        </w:rPr>
        <w:t>The judgment, were it to survive unchallenged, was immediatel</w:t>
      </w:r>
      <w:r w:rsidR="00185926" w:rsidRPr="006319C6">
        <w:rPr>
          <w:rFonts w:ascii="Bookman Old Style" w:hAnsi="Bookman Old Style" w:cs="Times New Roman"/>
          <w:sz w:val="28"/>
          <w:szCs w:val="28"/>
        </w:rPr>
        <w:t>y seen around the world as favo</w:t>
      </w:r>
      <w:r w:rsidR="009322AB" w:rsidRPr="006319C6">
        <w:rPr>
          <w:rFonts w:ascii="Bookman Old Style" w:hAnsi="Bookman Old Style" w:cs="Times New Roman"/>
          <w:sz w:val="28"/>
          <w:szCs w:val="28"/>
        </w:rPr>
        <w:t>r</w:t>
      </w:r>
      <w:r w:rsidR="00710B7B" w:rsidRPr="006319C6">
        <w:rPr>
          <w:rFonts w:ascii="Bookman Old Style" w:hAnsi="Bookman Old Style" w:cs="Times New Roman"/>
          <w:sz w:val="28"/>
          <w:szCs w:val="28"/>
        </w:rPr>
        <w:t>ing</w:t>
      </w:r>
      <w:r w:rsidR="009322AB" w:rsidRPr="006319C6">
        <w:rPr>
          <w:rFonts w:ascii="Bookman Old Style" w:hAnsi="Bookman Old Style" w:cs="Times New Roman"/>
          <w:sz w:val="28"/>
          <w:szCs w:val="28"/>
        </w:rPr>
        <w:t xml:space="preserve"> senior military commanders. C</w:t>
      </w:r>
      <w:r w:rsidR="00C80E96" w:rsidRPr="006319C6">
        <w:rPr>
          <w:rFonts w:ascii="Bookman Old Style" w:hAnsi="Bookman Old Style" w:cs="Times New Roman"/>
          <w:sz w:val="28"/>
          <w:szCs w:val="28"/>
        </w:rPr>
        <w:t>ritical appraisals of the judgment</w:t>
      </w:r>
      <w:r w:rsidR="009322AB" w:rsidRPr="006319C6">
        <w:rPr>
          <w:rFonts w:ascii="Bookman Old Style" w:hAnsi="Bookman Old Style" w:cs="Times New Roman"/>
          <w:sz w:val="28"/>
          <w:szCs w:val="28"/>
        </w:rPr>
        <w:t xml:space="preserve"> expressed </w:t>
      </w:r>
      <w:r w:rsidR="00C80E96" w:rsidRPr="006319C6">
        <w:rPr>
          <w:rFonts w:ascii="Bookman Old Style" w:hAnsi="Bookman Old Style" w:cs="Times New Roman"/>
          <w:sz w:val="28"/>
          <w:szCs w:val="28"/>
        </w:rPr>
        <w:t xml:space="preserve">concerns about </w:t>
      </w:r>
      <w:r w:rsidR="009322AB" w:rsidRPr="006319C6">
        <w:rPr>
          <w:rFonts w:ascii="Bookman Old Style" w:hAnsi="Bookman Old Style" w:cs="Times New Roman"/>
          <w:sz w:val="28"/>
          <w:szCs w:val="28"/>
        </w:rPr>
        <w:t>significant changes brought about by</w:t>
      </w:r>
      <w:r w:rsidR="00C80E96" w:rsidRPr="006319C6">
        <w:rPr>
          <w:rFonts w:ascii="Bookman Old Style" w:hAnsi="Bookman Old Style" w:cs="Times New Roman"/>
          <w:sz w:val="28"/>
          <w:szCs w:val="28"/>
        </w:rPr>
        <w:t xml:space="preserve"> judicial precedent </w:t>
      </w:r>
      <w:r w:rsidR="009322AB" w:rsidRPr="006319C6">
        <w:rPr>
          <w:rFonts w:ascii="Bookman Old Style" w:hAnsi="Bookman Old Style" w:cs="Times New Roman"/>
          <w:sz w:val="28"/>
          <w:szCs w:val="28"/>
        </w:rPr>
        <w:t xml:space="preserve">concerning </w:t>
      </w:r>
      <w:r w:rsidR="00C80E96" w:rsidRPr="006319C6">
        <w:rPr>
          <w:rFonts w:ascii="Bookman Old Style" w:hAnsi="Bookman Old Style" w:cs="Times New Roman"/>
          <w:sz w:val="28"/>
          <w:szCs w:val="28"/>
        </w:rPr>
        <w:t xml:space="preserve">aiding-and-abetting liability, which had previously required </w:t>
      </w:r>
      <w:r w:rsidR="00582540" w:rsidRPr="006319C6">
        <w:rPr>
          <w:rFonts w:ascii="Bookman Old Style" w:hAnsi="Bookman Old Style" w:cs="Times New Roman"/>
          <w:sz w:val="28"/>
          <w:szCs w:val="28"/>
        </w:rPr>
        <w:t xml:space="preserve">proof of </w:t>
      </w:r>
      <w:r w:rsidR="009322AB" w:rsidRPr="006319C6">
        <w:rPr>
          <w:rFonts w:ascii="Bookman Old Style" w:hAnsi="Bookman Old Style" w:cs="Times New Roman"/>
          <w:sz w:val="28"/>
          <w:szCs w:val="28"/>
        </w:rPr>
        <w:t xml:space="preserve">only </w:t>
      </w:r>
      <w:r w:rsidR="00C80E96" w:rsidRPr="006319C6">
        <w:rPr>
          <w:rFonts w:ascii="Bookman Old Style" w:hAnsi="Bookman Old Style" w:cs="Times New Roman"/>
          <w:sz w:val="28"/>
          <w:szCs w:val="28"/>
        </w:rPr>
        <w:t xml:space="preserve">two elements </w:t>
      </w:r>
      <w:r w:rsidR="00A04322" w:rsidRPr="006319C6">
        <w:rPr>
          <w:rFonts w:ascii="Bookman Old Style" w:hAnsi="Bookman Old Style" w:cs="Times New Roman"/>
          <w:sz w:val="28"/>
          <w:szCs w:val="28"/>
        </w:rPr>
        <w:t>to establish guilt.</w:t>
      </w:r>
      <w:r w:rsidR="00C80E96" w:rsidRPr="006319C6">
        <w:rPr>
          <w:rFonts w:ascii="Bookman Old Style" w:hAnsi="Bookman Old Style" w:cs="Times New Roman"/>
          <w:sz w:val="28"/>
          <w:szCs w:val="28"/>
        </w:rPr>
        <w:t xml:space="preserve"> </w:t>
      </w:r>
      <w:proofErr w:type="gramStart"/>
      <w:r w:rsidR="00C80E96" w:rsidRPr="006319C6">
        <w:rPr>
          <w:rFonts w:ascii="Bookman Old Style" w:hAnsi="Bookman Old Style" w:cs="Times New Roman"/>
          <w:sz w:val="28"/>
          <w:szCs w:val="28"/>
        </w:rPr>
        <w:t>First</w:t>
      </w:r>
      <w:r w:rsidR="00EF3742" w:rsidRPr="006319C6">
        <w:rPr>
          <w:rFonts w:ascii="Bookman Old Style" w:hAnsi="Bookman Old Style" w:cs="Times New Roman"/>
          <w:sz w:val="28"/>
          <w:szCs w:val="28"/>
        </w:rPr>
        <w:t>,</w:t>
      </w:r>
      <w:r w:rsidR="00C80E96" w:rsidRPr="006319C6">
        <w:rPr>
          <w:rFonts w:ascii="Bookman Old Style" w:hAnsi="Bookman Old Style" w:cs="Times New Roman"/>
          <w:sz w:val="28"/>
          <w:szCs w:val="28"/>
        </w:rPr>
        <w:t xml:space="preserve"> that</w:t>
      </w:r>
      <w:proofErr w:type="gramEnd"/>
      <w:r w:rsidR="00C80E96" w:rsidRPr="006319C6">
        <w:rPr>
          <w:rFonts w:ascii="Bookman Old Style" w:hAnsi="Bookman Old Style" w:cs="Times New Roman"/>
          <w:sz w:val="28"/>
          <w:szCs w:val="28"/>
        </w:rPr>
        <w:t xml:space="preserve"> the accused knew that his conduct had a substantial likelihood of aiding a crime. Second, that the aid provided had a substantial effect. The </w:t>
      </w:r>
      <w:proofErr w:type="spellStart"/>
      <w:r w:rsidR="00C80E96" w:rsidRPr="006319C6">
        <w:rPr>
          <w:rFonts w:ascii="Bookman Old Style" w:hAnsi="Bookman Old Style" w:cs="Times New Roman"/>
          <w:sz w:val="28"/>
          <w:szCs w:val="28"/>
        </w:rPr>
        <w:t>Perišić</w:t>
      </w:r>
      <w:proofErr w:type="spellEnd"/>
      <w:r w:rsidR="00C80E96" w:rsidRPr="006319C6">
        <w:rPr>
          <w:rFonts w:ascii="Bookman Old Style" w:hAnsi="Bookman Old Style" w:cs="Times New Roman"/>
          <w:sz w:val="28"/>
          <w:szCs w:val="28"/>
        </w:rPr>
        <w:t xml:space="preserve"> judgment introduced a third element, namely that the accused </w:t>
      </w:r>
      <w:r w:rsidR="00582540" w:rsidRPr="006319C6">
        <w:rPr>
          <w:rFonts w:ascii="Bookman Old Style" w:hAnsi="Bookman Old Style" w:cs="Times New Roman"/>
          <w:sz w:val="28"/>
          <w:szCs w:val="28"/>
        </w:rPr>
        <w:t>must be prove</w:t>
      </w:r>
      <w:r w:rsidR="00EF3742" w:rsidRPr="006319C6">
        <w:rPr>
          <w:rFonts w:ascii="Bookman Old Style" w:hAnsi="Bookman Old Style" w:cs="Times New Roman"/>
          <w:sz w:val="28"/>
          <w:szCs w:val="28"/>
        </w:rPr>
        <w:t>n</w:t>
      </w:r>
      <w:r w:rsidR="00582540" w:rsidRPr="006319C6">
        <w:rPr>
          <w:rFonts w:ascii="Bookman Old Style" w:hAnsi="Bookman Old Style" w:cs="Times New Roman"/>
          <w:sz w:val="28"/>
          <w:szCs w:val="28"/>
        </w:rPr>
        <w:t xml:space="preserve"> to have </w:t>
      </w:r>
      <w:r w:rsidR="00C80E96" w:rsidRPr="006319C6">
        <w:rPr>
          <w:rFonts w:ascii="Bookman Old Style" w:hAnsi="Bookman Old Style" w:cs="Times New Roman"/>
          <w:sz w:val="28"/>
          <w:szCs w:val="28"/>
        </w:rPr>
        <w:t>“specifically directed” the crime.</w:t>
      </w:r>
      <w:r w:rsidR="00C80E96" w:rsidRPr="006319C6">
        <w:rPr>
          <w:rStyle w:val="FootnoteReference"/>
          <w:rFonts w:ascii="Bookman Old Style" w:hAnsi="Bookman Old Style"/>
          <w:sz w:val="28"/>
          <w:szCs w:val="28"/>
        </w:rPr>
        <w:footnoteReference w:id="55"/>
      </w:r>
      <w:r w:rsidR="00C80E96" w:rsidRPr="006319C6">
        <w:rPr>
          <w:rFonts w:ascii="Bookman Old Style" w:hAnsi="Bookman Old Style" w:cs="Times New Roman"/>
          <w:sz w:val="28"/>
          <w:szCs w:val="28"/>
        </w:rPr>
        <w:t xml:space="preserve"> The </w:t>
      </w:r>
      <w:proofErr w:type="spellStart"/>
      <w:r w:rsidR="00C80E96" w:rsidRPr="006319C6">
        <w:rPr>
          <w:rFonts w:ascii="Bookman Old Style" w:hAnsi="Bookman Old Style" w:cs="Times New Roman"/>
          <w:sz w:val="28"/>
          <w:szCs w:val="28"/>
        </w:rPr>
        <w:t>Perišić</w:t>
      </w:r>
      <w:proofErr w:type="spellEnd"/>
      <w:r w:rsidR="00C80E96" w:rsidRPr="006319C6">
        <w:rPr>
          <w:rFonts w:ascii="Bookman Old Style" w:hAnsi="Bookman Old Style" w:cs="Times New Roman"/>
          <w:sz w:val="28"/>
          <w:szCs w:val="28"/>
        </w:rPr>
        <w:t xml:space="preserve"> Appeals Judgment was based on the </w:t>
      </w:r>
      <w:r w:rsidR="00C80E96" w:rsidRPr="006319C6">
        <w:rPr>
          <w:rFonts w:ascii="Bookman Old Style" w:hAnsi="Bookman Old Style" w:cs="Times New Roman"/>
          <w:sz w:val="28"/>
          <w:szCs w:val="28"/>
        </w:rPr>
        <w:lastRenderedPageBreak/>
        <w:t>premise that the VRS – the Bo</w:t>
      </w:r>
      <w:r w:rsidR="00582540" w:rsidRPr="006319C6">
        <w:rPr>
          <w:rFonts w:ascii="Bookman Old Style" w:hAnsi="Bookman Old Style" w:cs="Times New Roman"/>
          <w:sz w:val="28"/>
          <w:szCs w:val="28"/>
        </w:rPr>
        <w:t>sn</w:t>
      </w:r>
      <w:r w:rsidR="00C80E96" w:rsidRPr="006319C6">
        <w:rPr>
          <w:rFonts w:ascii="Bookman Old Style" w:hAnsi="Bookman Old Style" w:cs="Times New Roman"/>
          <w:sz w:val="28"/>
          <w:szCs w:val="28"/>
        </w:rPr>
        <w:t xml:space="preserve">ian Serb army commanded by </w:t>
      </w:r>
      <w:proofErr w:type="spellStart"/>
      <w:r w:rsidR="00C80E96" w:rsidRPr="006319C6">
        <w:rPr>
          <w:rFonts w:ascii="Bookman Old Style" w:hAnsi="Bookman Old Style" w:cs="Times New Roman"/>
          <w:sz w:val="28"/>
          <w:szCs w:val="28"/>
        </w:rPr>
        <w:t>Ratko</w:t>
      </w:r>
      <w:proofErr w:type="spellEnd"/>
      <w:r w:rsidR="00C80E96" w:rsidRPr="006319C6">
        <w:rPr>
          <w:rFonts w:ascii="Bookman Old Style" w:hAnsi="Bookman Old Style" w:cs="Times New Roman"/>
          <w:sz w:val="28"/>
          <w:szCs w:val="28"/>
        </w:rPr>
        <w:t xml:space="preserve"> </w:t>
      </w:r>
      <w:proofErr w:type="spellStart"/>
      <w:r w:rsidR="00C80E96" w:rsidRPr="006319C6">
        <w:rPr>
          <w:rFonts w:ascii="Bookman Old Style" w:hAnsi="Bookman Old Style" w:cs="Times New Roman"/>
          <w:sz w:val="28"/>
          <w:szCs w:val="28"/>
        </w:rPr>
        <w:t>Mladić</w:t>
      </w:r>
      <w:proofErr w:type="spellEnd"/>
      <w:r w:rsidR="00185926" w:rsidRPr="006319C6">
        <w:rPr>
          <w:rFonts w:ascii="Bookman Old Style" w:hAnsi="Bookman Old Style" w:cs="Times New Roman"/>
          <w:sz w:val="28"/>
          <w:szCs w:val="28"/>
        </w:rPr>
        <w:t xml:space="preserve"> – w</w:t>
      </w:r>
      <w:r w:rsidR="00C80E96" w:rsidRPr="006319C6">
        <w:rPr>
          <w:rFonts w:ascii="Bookman Old Style" w:hAnsi="Bookman Old Style" w:cs="Times New Roman"/>
          <w:sz w:val="28"/>
          <w:szCs w:val="28"/>
        </w:rPr>
        <w:t xml:space="preserve">ere engaged in a legitimate military effort and that </w:t>
      </w:r>
      <w:proofErr w:type="spellStart"/>
      <w:r w:rsidR="00C80E96" w:rsidRPr="006319C6">
        <w:rPr>
          <w:rFonts w:ascii="Bookman Old Style" w:hAnsi="Bookman Old Style" w:cs="Times New Roman"/>
          <w:sz w:val="28"/>
          <w:szCs w:val="28"/>
        </w:rPr>
        <w:t>Peri</w:t>
      </w:r>
      <w:proofErr w:type="spellEnd"/>
      <w:r w:rsidR="00C80E96" w:rsidRPr="006319C6">
        <w:rPr>
          <w:rFonts w:ascii="Bookman Old Style" w:hAnsi="Bookman Old Style" w:cs="Times New Roman"/>
          <w:sz w:val="28"/>
          <w:szCs w:val="28"/>
          <w:lang w:val="hr-HR"/>
        </w:rPr>
        <w:t>š</w:t>
      </w:r>
      <w:proofErr w:type="spellStart"/>
      <w:r w:rsidR="00C80E96" w:rsidRPr="006319C6">
        <w:rPr>
          <w:rFonts w:ascii="Bookman Old Style" w:hAnsi="Bookman Old Style" w:cs="Times New Roman"/>
          <w:sz w:val="28"/>
          <w:szCs w:val="28"/>
        </w:rPr>
        <w:t>ić</w:t>
      </w:r>
      <w:proofErr w:type="spellEnd"/>
      <w:r w:rsidR="00C80E96" w:rsidRPr="006319C6">
        <w:rPr>
          <w:rFonts w:ascii="Bookman Old Style" w:hAnsi="Bookman Old Style" w:cs="Times New Roman"/>
          <w:sz w:val="28"/>
          <w:szCs w:val="28"/>
        </w:rPr>
        <w:t xml:space="preserve"> was aiding the legitimate war activities, with no evidence that he “specifically directed” the aid to the commission of crimes.</w:t>
      </w:r>
      <w:r w:rsidR="00C80E96" w:rsidRPr="006319C6">
        <w:rPr>
          <w:rStyle w:val="FootnoteReference"/>
          <w:rFonts w:ascii="Bookman Old Style" w:hAnsi="Bookman Old Style"/>
          <w:sz w:val="28"/>
          <w:szCs w:val="28"/>
        </w:rPr>
        <w:footnoteReference w:id="56"/>
      </w:r>
      <w:r w:rsidR="00C80E96" w:rsidRPr="006319C6">
        <w:rPr>
          <w:rFonts w:ascii="Bookman Old Style" w:hAnsi="Bookman Old Style" w:cs="Times New Roman"/>
          <w:sz w:val="28"/>
          <w:szCs w:val="28"/>
        </w:rPr>
        <w:t xml:space="preserve"> </w:t>
      </w:r>
    </w:p>
    <w:p w14:paraId="79BAD9A8" w14:textId="66FF91EF" w:rsidR="00C66330" w:rsidRPr="006319C6" w:rsidRDefault="00C80E96" w:rsidP="00A9165D">
      <w:pPr>
        <w:pStyle w:val="Paragraph"/>
        <w:spacing w:before="0" w:after="0" w:line="240" w:lineRule="auto"/>
        <w:rPr>
          <w:rFonts w:ascii="Bookman Old Style" w:hAnsi="Bookman Old Style"/>
          <w:color w:val="141414"/>
          <w:sz w:val="28"/>
          <w:szCs w:val="28"/>
        </w:rPr>
      </w:pPr>
      <w:r w:rsidRPr="006319C6">
        <w:rPr>
          <w:rFonts w:ascii="Bookman Old Style" w:hAnsi="Bookman Old Style"/>
          <w:sz w:val="28"/>
          <w:szCs w:val="28"/>
        </w:rPr>
        <w:tab/>
        <w:t xml:space="preserve">So what </w:t>
      </w:r>
      <w:r w:rsidR="00084611" w:rsidRPr="006319C6">
        <w:rPr>
          <w:rFonts w:ascii="Bookman Old Style" w:hAnsi="Bookman Old Style"/>
          <w:sz w:val="28"/>
          <w:szCs w:val="28"/>
        </w:rPr>
        <w:t xml:space="preserve">do </w:t>
      </w:r>
      <w:r w:rsidRPr="006319C6">
        <w:rPr>
          <w:rFonts w:ascii="Bookman Old Style" w:hAnsi="Bookman Old Style"/>
          <w:sz w:val="28"/>
          <w:szCs w:val="28"/>
        </w:rPr>
        <w:t xml:space="preserve">acquittals actully mean in legal terms? </w:t>
      </w:r>
      <w:r w:rsidRPr="006319C6">
        <w:rPr>
          <w:rFonts w:ascii="Bookman Old Style" w:hAnsi="Bookman Old Style"/>
          <w:color w:val="141414"/>
          <w:sz w:val="28"/>
          <w:szCs w:val="28"/>
        </w:rPr>
        <w:t>In the words of former ICTY judge, Lord Iain Bonomy, a court judgment of acquittal in a criminal case does not ru</w:t>
      </w:r>
      <w:r w:rsidR="00D977F2" w:rsidRPr="006319C6">
        <w:rPr>
          <w:rFonts w:ascii="Bookman Old Style" w:hAnsi="Bookman Old Style"/>
          <w:color w:val="141414"/>
          <w:sz w:val="28"/>
          <w:szCs w:val="28"/>
        </w:rPr>
        <w:t>le that an accused is "innocent</w:t>
      </w:r>
      <w:r w:rsidRPr="006319C6">
        <w:rPr>
          <w:rFonts w:ascii="Bookman Old Style" w:hAnsi="Bookman Old Style"/>
          <w:color w:val="141414"/>
          <w:sz w:val="28"/>
          <w:szCs w:val="28"/>
        </w:rPr>
        <w:t>"</w:t>
      </w:r>
      <w:r w:rsidR="00D977F2" w:rsidRPr="006319C6">
        <w:rPr>
          <w:rFonts w:ascii="Bookman Old Style" w:hAnsi="Bookman Old Style"/>
          <w:color w:val="141414"/>
          <w:sz w:val="28"/>
          <w:szCs w:val="28"/>
        </w:rPr>
        <w:t>.</w:t>
      </w:r>
      <w:r w:rsidRPr="006319C6">
        <w:rPr>
          <w:rStyle w:val="FootnoteReference"/>
          <w:rFonts w:ascii="Bookman Old Style" w:hAnsi="Bookman Old Style"/>
          <w:color w:val="141414"/>
          <w:sz w:val="28"/>
          <w:szCs w:val="28"/>
        </w:rPr>
        <w:footnoteReference w:id="57"/>
      </w:r>
      <w:r w:rsidRPr="006319C6">
        <w:rPr>
          <w:rFonts w:ascii="Bookman Old Style" w:hAnsi="Bookman Old Style"/>
          <w:sz w:val="28"/>
          <w:szCs w:val="28"/>
          <w:lang w:val="en-GB" w:eastAsia="it-IT"/>
        </w:rPr>
        <w:t xml:space="preserve"> </w:t>
      </w:r>
      <w:r w:rsidRPr="006319C6">
        <w:rPr>
          <w:rFonts w:ascii="Bookman Old Style" w:hAnsi="Bookman Old Style"/>
          <w:color w:val="141414"/>
          <w:sz w:val="28"/>
          <w:szCs w:val="28"/>
        </w:rPr>
        <w:t>Judgments can only determine whether an accused is found guilty of the allegations brought against him or her in the in</w:t>
      </w:r>
      <w:r w:rsidR="00D977F2" w:rsidRPr="006319C6">
        <w:rPr>
          <w:rFonts w:ascii="Bookman Old Style" w:hAnsi="Bookman Old Style"/>
          <w:color w:val="141414"/>
          <w:sz w:val="28"/>
          <w:szCs w:val="28"/>
        </w:rPr>
        <w:t>dictment. T</w:t>
      </w:r>
      <w:r w:rsidRPr="006319C6">
        <w:rPr>
          <w:rFonts w:ascii="Bookman Old Style" w:hAnsi="Bookman Old Style"/>
          <w:color w:val="141414"/>
          <w:sz w:val="28"/>
          <w:szCs w:val="28"/>
        </w:rPr>
        <w:t>he P</w:t>
      </w:r>
      <w:r w:rsidR="00582540" w:rsidRPr="006319C6">
        <w:rPr>
          <w:rFonts w:ascii="Bookman Old Style" w:hAnsi="Bookman Old Style"/>
          <w:color w:val="141414"/>
          <w:sz w:val="28"/>
          <w:szCs w:val="28"/>
        </w:rPr>
        <w:t>ro</w:t>
      </w:r>
      <w:r w:rsidR="00D977F2" w:rsidRPr="006319C6">
        <w:rPr>
          <w:rFonts w:ascii="Bookman Old Style" w:hAnsi="Bookman Old Style"/>
          <w:color w:val="141414"/>
          <w:sz w:val="28"/>
          <w:szCs w:val="28"/>
        </w:rPr>
        <w:t>secution must</w:t>
      </w:r>
      <w:r w:rsidRPr="006319C6">
        <w:rPr>
          <w:rFonts w:ascii="Bookman Old Style" w:hAnsi="Bookman Old Style"/>
          <w:color w:val="141414"/>
          <w:sz w:val="28"/>
          <w:szCs w:val="28"/>
        </w:rPr>
        <w:t xml:space="preserve"> prove these allegations beyond </w:t>
      </w:r>
      <w:r w:rsidR="00806E59" w:rsidRPr="006319C6">
        <w:rPr>
          <w:rFonts w:ascii="Bookman Old Style" w:hAnsi="Bookman Old Style"/>
          <w:color w:val="141414"/>
          <w:sz w:val="28"/>
          <w:szCs w:val="28"/>
        </w:rPr>
        <w:t>“</w:t>
      </w:r>
      <w:r w:rsidRPr="006319C6">
        <w:rPr>
          <w:rFonts w:ascii="Bookman Old Style" w:hAnsi="Bookman Old Style"/>
          <w:color w:val="141414"/>
          <w:sz w:val="28"/>
          <w:szCs w:val="28"/>
        </w:rPr>
        <w:t>resonable doubt</w:t>
      </w:r>
      <w:r w:rsidR="00806E59" w:rsidRPr="006319C6">
        <w:rPr>
          <w:rFonts w:ascii="Bookman Old Style" w:hAnsi="Bookman Old Style"/>
          <w:color w:val="141414"/>
          <w:sz w:val="28"/>
          <w:szCs w:val="28"/>
        </w:rPr>
        <w:t>”</w:t>
      </w:r>
      <w:r w:rsidR="00582540" w:rsidRPr="006319C6">
        <w:rPr>
          <w:rFonts w:ascii="Bookman Old Style" w:hAnsi="Bookman Old Style"/>
          <w:color w:val="141414"/>
          <w:sz w:val="28"/>
          <w:szCs w:val="28"/>
        </w:rPr>
        <w:t>.</w:t>
      </w:r>
      <w:r w:rsidRPr="006319C6">
        <w:rPr>
          <w:rFonts w:ascii="Bookman Old Style" w:hAnsi="Bookman Old Style"/>
          <w:color w:val="141414"/>
          <w:sz w:val="28"/>
          <w:szCs w:val="28"/>
        </w:rPr>
        <w:t xml:space="preserve"> </w:t>
      </w:r>
    </w:p>
    <w:p w14:paraId="2C992267" w14:textId="530000F2" w:rsidR="00C80E96" w:rsidRPr="006319C6" w:rsidRDefault="00D977F2" w:rsidP="00A9165D">
      <w:pPr>
        <w:pStyle w:val="Paragraph"/>
        <w:spacing w:before="0" w:after="0" w:line="240" w:lineRule="auto"/>
        <w:ind w:firstLine="720"/>
        <w:rPr>
          <w:rFonts w:ascii="Bookman Old Style" w:hAnsi="Bookman Old Style"/>
          <w:color w:val="141414"/>
          <w:sz w:val="28"/>
          <w:szCs w:val="28"/>
        </w:rPr>
      </w:pPr>
      <w:r w:rsidRPr="006319C6">
        <w:rPr>
          <w:rFonts w:ascii="Bookman Old Style" w:hAnsi="Bookman Old Style"/>
          <w:sz w:val="28"/>
          <w:szCs w:val="28"/>
        </w:rPr>
        <w:t>Failing to rely on the</w:t>
      </w:r>
      <w:r w:rsidR="00C80E96" w:rsidRPr="006319C6">
        <w:rPr>
          <w:rFonts w:ascii="Bookman Old Style" w:hAnsi="Bookman Old Style"/>
          <w:sz w:val="28"/>
          <w:szCs w:val="28"/>
        </w:rPr>
        <w:t xml:space="preserve"> JCE legal doctrine, the Prosecution did not even try to establish an evidentiary connection between General Perišić and the leaders of the RS, the RSK, the FRY</w:t>
      </w:r>
      <w:r w:rsidRPr="006319C6">
        <w:rPr>
          <w:rFonts w:ascii="Bookman Old Style" w:hAnsi="Bookman Old Style"/>
          <w:sz w:val="28"/>
          <w:szCs w:val="28"/>
        </w:rPr>
        <w:t>,</w:t>
      </w:r>
      <w:r w:rsidR="00C80E96" w:rsidRPr="006319C6">
        <w:rPr>
          <w:rFonts w:ascii="Bookman Old Style" w:hAnsi="Bookman Old Style"/>
          <w:sz w:val="28"/>
          <w:szCs w:val="28"/>
        </w:rPr>
        <w:t xml:space="preserve"> and Serbia in articulating a </w:t>
      </w:r>
      <w:r w:rsidR="00806E59" w:rsidRPr="006319C6">
        <w:rPr>
          <w:rFonts w:ascii="Bookman Old Style" w:hAnsi="Bookman Old Style"/>
          <w:sz w:val="28"/>
          <w:szCs w:val="28"/>
        </w:rPr>
        <w:t>“</w:t>
      </w:r>
      <w:r w:rsidR="00C80E96" w:rsidRPr="006319C6">
        <w:rPr>
          <w:rFonts w:ascii="Bookman Old Style" w:hAnsi="Bookman Old Style"/>
          <w:sz w:val="28"/>
          <w:szCs w:val="28"/>
        </w:rPr>
        <w:t>common plan</w:t>
      </w:r>
      <w:r w:rsidR="00806E59" w:rsidRPr="006319C6">
        <w:rPr>
          <w:rFonts w:ascii="Bookman Old Style" w:hAnsi="Bookman Old Style"/>
          <w:sz w:val="28"/>
          <w:szCs w:val="28"/>
        </w:rPr>
        <w:t>”</w:t>
      </w:r>
      <w:r w:rsidRPr="006319C6">
        <w:rPr>
          <w:rFonts w:ascii="Bookman Old Style" w:hAnsi="Bookman Old Style"/>
          <w:sz w:val="28"/>
          <w:szCs w:val="28"/>
        </w:rPr>
        <w:t xml:space="preserve">. Perhaps if the OTP had decided </w:t>
      </w:r>
      <w:r w:rsidR="00C80E96" w:rsidRPr="006319C6">
        <w:rPr>
          <w:rFonts w:ascii="Bookman Old Style" w:hAnsi="Bookman Old Style"/>
          <w:sz w:val="28"/>
          <w:szCs w:val="28"/>
        </w:rPr>
        <w:t>to indict all three voting members of the SDC</w:t>
      </w:r>
      <w:r w:rsidR="000C38DA" w:rsidRPr="006319C6">
        <w:rPr>
          <w:rFonts w:ascii="Bookman Old Style" w:hAnsi="Bookman Old Style"/>
          <w:sz w:val="28"/>
          <w:szCs w:val="28"/>
        </w:rPr>
        <w:t xml:space="preserve"> together with Perišić and </w:t>
      </w:r>
      <w:r w:rsidR="00C80E96" w:rsidRPr="006319C6">
        <w:rPr>
          <w:rFonts w:ascii="Bookman Old Style" w:hAnsi="Bookman Old Style"/>
          <w:sz w:val="28"/>
          <w:szCs w:val="28"/>
        </w:rPr>
        <w:t>other high ranking political and military non-voting members, who attended the planning meetings of the SDC, the course of</w:t>
      </w:r>
      <w:r w:rsidR="000C38DA" w:rsidRPr="006319C6">
        <w:rPr>
          <w:rFonts w:ascii="Bookman Old Style" w:hAnsi="Bookman Old Style"/>
          <w:sz w:val="28"/>
          <w:szCs w:val="28"/>
        </w:rPr>
        <w:t xml:space="preserve"> the trial, and the evidence</w:t>
      </w:r>
      <w:r w:rsidR="00C80E96" w:rsidRPr="006319C6">
        <w:rPr>
          <w:rFonts w:ascii="Bookman Old Style" w:hAnsi="Bookman Old Style"/>
          <w:sz w:val="28"/>
          <w:szCs w:val="28"/>
        </w:rPr>
        <w:t xml:space="preserve">, might have resulted in a different judgment. </w:t>
      </w:r>
    </w:p>
    <w:p w14:paraId="56A45149" w14:textId="77777777" w:rsidR="000C38DA" w:rsidRPr="006319C6" w:rsidRDefault="00C80E96" w:rsidP="000C38DA">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r w:rsidR="00C66330" w:rsidRPr="006319C6">
        <w:rPr>
          <w:rFonts w:ascii="Bookman Old Style" w:hAnsi="Bookman Old Style"/>
          <w:sz w:val="28"/>
          <w:szCs w:val="28"/>
        </w:rPr>
        <w:t>C</w:t>
      </w:r>
      <w:r w:rsidRPr="006319C6">
        <w:rPr>
          <w:rFonts w:ascii="Bookman Old Style" w:hAnsi="Bookman Old Style"/>
          <w:sz w:val="28"/>
          <w:szCs w:val="28"/>
        </w:rPr>
        <w:t xml:space="preserve">riminal cases can be won </w:t>
      </w:r>
      <w:r w:rsidR="00C66330" w:rsidRPr="006319C6">
        <w:rPr>
          <w:rFonts w:ascii="Bookman Old Style" w:hAnsi="Bookman Old Style"/>
          <w:sz w:val="28"/>
          <w:szCs w:val="28"/>
        </w:rPr>
        <w:t>by a</w:t>
      </w:r>
      <w:r w:rsidRPr="006319C6">
        <w:rPr>
          <w:rFonts w:ascii="Bookman Old Style" w:hAnsi="Bookman Old Style"/>
          <w:sz w:val="28"/>
          <w:szCs w:val="28"/>
        </w:rPr>
        <w:t xml:space="preserve"> combination of a sound legal theory and </w:t>
      </w:r>
      <w:r w:rsidR="000C38DA" w:rsidRPr="006319C6">
        <w:rPr>
          <w:rFonts w:ascii="Bookman Old Style" w:hAnsi="Bookman Old Style"/>
          <w:sz w:val="28"/>
          <w:szCs w:val="28"/>
        </w:rPr>
        <w:t>persuasive trial evidence. The prosecution and d</w:t>
      </w:r>
      <w:r w:rsidRPr="006319C6">
        <w:rPr>
          <w:rFonts w:ascii="Bookman Old Style" w:hAnsi="Bookman Old Style"/>
          <w:sz w:val="28"/>
          <w:szCs w:val="28"/>
        </w:rPr>
        <w:t>efence produce evidence with th</w:t>
      </w:r>
      <w:r w:rsidR="000C38DA" w:rsidRPr="006319C6">
        <w:rPr>
          <w:rFonts w:ascii="Bookman Old Style" w:hAnsi="Bookman Old Style"/>
          <w:sz w:val="28"/>
          <w:szCs w:val="28"/>
        </w:rPr>
        <w:t>e burden of proof being on the prosecution. The last word i</w:t>
      </w:r>
      <w:r w:rsidRPr="006319C6">
        <w:rPr>
          <w:rFonts w:ascii="Bookman Old Style" w:hAnsi="Bookman Old Style"/>
          <w:sz w:val="28"/>
          <w:szCs w:val="28"/>
        </w:rPr>
        <w:t>n evaluat</w:t>
      </w:r>
      <w:r w:rsidR="00C66330" w:rsidRPr="006319C6">
        <w:rPr>
          <w:rFonts w:ascii="Bookman Old Style" w:hAnsi="Bookman Old Style"/>
          <w:sz w:val="28"/>
          <w:szCs w:val="28"/>
        </w:rPr>
        <w:t>ing</w:t>
      </w:r>
      <w:r w:rsidRPr="006319C6">
        <w:rPr>
          <w:rFonts w:ascii="Bookman Old Style" w:hAnsi="Bookman Old Style"/>
          <w:sz w:val="28"/>
          <w:szCs w:val="28"/>
        </w:rPr>
        <w:t xml:space="preserve"> the evidence when re</w:t>
      </w:r>
      <w:r w:rsidR="001C3E61" w:rsidRPr="006319C6">
        <w:rPr>
          <w:rFonts w:ascii="Bookman Old Style" w:hAnsi="Bookman Old Style"/>
          <w:sz w:val="28"/>
          <w:szCs w:val="28"/>
        </w:rPr>
        <w:t>n</w:t>
      </w:r>
      <w:r w:rsidRPr="006319C6">
        <w:rPr>
          <w:rFonts w:ascii="Bookman Old Style" w:hAnsi="Bookman Old Style"/>
          <w:sz w:val="28"/>
          <w:szCs w:val="28"/>
        </w:rPr>
        <w:t xml:space="preserve">dering the judgment will have </w:t>
      </w:r>
      <w:r w:rsidR="00C66330" w:rsidRPr="006319C6">
        <w:rPr>
          <w:rFonts w:ascii="Bookman Old Style" w:hAnsi="Bookman Old Style"/>
          <w:sz w:val="28"/>
          <w:szCs w:val="28"/>
        </w:rPr>
        <w:t xml:space="preserve">to be </w:t>
      </w:r>
      <w:r w:rsidRPr="006319C6">
        <w:rPr>
          <w:rFonts w:ascii="Bookman Old Style" w:hAnsi="Bookman Old Style"/>
          <w:sz w:val="28"/>
          <w:szCs w:val="28"/>
        </w:rPr>
        <w:t xml:space="preserve">the judges. </w:t>
      </w:r>
    </w:p>
    <w:p w14:paraId="44824871" w14:textId="77777777" w:rsidR="000C38DA" w:rsidRPr="006319C6" w:rsidRDefault="000C38DA" w:rsidP="000C38DA">
      <w:pPr>
        <w:pStyle w:val="Paragraph"/>
        <w:spacing w:before="0" w:after="0" w:line="240" w:lineRule="auto"/>
        <w:rPr>
          <w:rFonts w:ascii="Bookman Old Style" w:hAnsi="Bookman Old Style"/>
          <w:sz w:val="28"/>
          <w:szCs w:val="28"/>
        </w:rPr>
      </w:pPr>
    </w:p>
    <w:p w14:paraId="13D73733" w14:textId="78CF51CE" w:rsidR="00C80E96" w:rsidRPr="006319C6" w:rsidRDefault="00C80E96" w:rsidP="000C38DA">
      <w:pPr>
        <w:pStyle w:val="Paragraph"/>
        <w:spacing w:before="0" w:after="0" w:line="240" w:lineRule="auto"/>
        <w:rPr>
          <w:rFonts w:ascii="Bookman Old Style" w:hAnsi="Bookman Old Style"/>
          <w:sz w:val="28"/>
          <w:szCs w:val="28"/>
        </w:rPr>
      </w:pPr>
      <w:r w:rsidRPr="006319C6">
        <w:rPr>
          <w:rStyle w:val="Emphasis"/>
          <w:rFonts w:ascii="Bookman Old Style" w:hAnsi="Bookman Old Style"/>
          <w:b/>
          <w:i w:val="0"/>
          <w:color w:val="000000"/>
          <w:sz w:val="28"/>
          <w:szCs w:val="28"/>
        </w:rPr>
        <w:t xml:space="preserve">Power of States in Providing or Obscuring Evidence  </w:t>
      </w:r>
      <w:r w:rsidRPr="006319C6">
        <w:rPr>
          <w:rFonts w:ascii="Bookman Old Style" w:hAnsi="Bookman Old Style"/>
          <w:b/>
          <w:sz w:val="28"/>
          <w:szCs w:val="28"/>
        </w:rPr>
        <w:t xml:space="preserve"> </w:t>
      </w:r>
    </w:p>
    <w:p w14:paraId="6A1F9DC5" w14:textId="77777777" w:rsidR="000C38DA" w:rsidRPr="006319C6" w:rsidRDefault="000C38DA" w:rsidP="00A9165D">
      <w:pPr>
        <w:pStyle w:val="Paragraph"/>
        <w:spacing w:before="0" w:after="0" w:line="240" w:lineRule="auto"/>
        <w:rPr>
          <w:rFonts w:ascii="Bookman Old Style" w:hAnsi="Bookman Old Style"/>
          <w:sz w:val="28"/>
          <w:szCs w:val="28"/>
        </w:rPr>
      </w:pPr>
    </w:p>
    <w:p w14:paraId="5AA7DF68" w14:textId="77777777" w:rsidR="009E1765" w:rsidRPr="006319C6" w:rsidRDefault="00C80E96"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r w:rsidR="001C3E61" w:rsidRPr="006319C6">
        <w:rPr>
          <w:rFonts w:ascii="Bookman Old Style" w:hAnsi="Bookman Old Style"/>
          <w:sz w:val="28"/>
          <w:szCs w:val="28"/>
        </w:rPr>
        <w:t>To w</w:t>
      </w:r>
      <w:r w:rsidR="00E3418B" w:rsidRPr="006319C6">
        <w:rPr>
          <w:rFonts w:ascii="Bookman Old Style" w:hAnsi="Bookman Old Style"/>
          <w:sz w:val="28"/>
          <w:szCs w:val="28"/>
        </w:rPr>
        <w:t>hat evidence do prosecutors and judges have acc</w:t>
      </w:r>
      <w:r w:rsidR="00C5675C" w:rsidRPr="006319C6">
        <w:rPr>
          <w:rFonts w:ascii="Bookman Old Style" w:hAnsi="Bookman Old Style"/>
          <w:sz w:val="28"/>
          <w:szCs w:val="28"/>
        </w:rPr>
        <w:t>e</w:t>
      </w:r>
      <w:r w:rsidR="00E3418B" w:rsidRPr="006319C6">
        <w:rPr>
          <w:rFonts w:ascii="Bookman Old Style" w:hAnsi="Bookman Old Style"/>
          <w:sz w:val="28"/>
          <w:szCs w:val="28"/>
        </w:rPr>
        <w:t xml:space="preserve">ss? </w:t>
      </w:r>
      <w:r w:rsidR="000D6BAA" w:rsidRPr="006319C6">
        <w:rPr>
          <w:rFonts w:ascii="Bookman Old Style" w:hAnsi="Bookman Old Style"/>
          <w:sz w:val="28"/>
          <w:szCs w:val="28"/>
        </w:rPr>
        <w:t>And w</w:t>
      </w:r>
      <w:r w:rsidR="00EC39ED" w:rsidRPr="006319C6">
        <w:rPr>
          <w:rFonts w:ascii="Bookman Old Style" w:hAnsi="Bookman Old Style"/>
          <w:sz w:val="28"/>
          <w:szCs w:val="28"/>
        </w:rPr>
        <w:t>hat follows f</w:t>
      </w:r>
      <w:r w:rsidR="001C3E61" w:rsidRPr="006319C6">
        <w:rPr>
          <w:rFonts w:ascii="Bookman Old Style" w:hAnsi="Bookman Old Style"/>
          <w:sz w:val="28"/>
          <w:szCs w:val="28"/>
        </w:rPr>
        <w:t>r</w:t>
      </w:r>
      <w:r w:rsidR="00EC39ED" w:rsidRPr="006319C6">
        <w:rPr>
          <w:rFonts w:ascii="Bookman Old Style" w:hAnsi="Bookman Old Style"/>
          <w:sz w:val="28"/>
          <w:szCs w:val="28"/>
        </w:rPr>
        <w:t>o</w:t>
      </w:r>
      <w:r w:rsidR="001C3E61" w:rsidRPr="006319C6">
        <w:rPr>
          <w:rFonts w:ascii="Bookman Old Style" w:hAnsi="Bookman Old Style"/>
          <w:sz w:val="28"/>
          <w:szCs w:val="28"/>
        </w:rPr>
        <w:t xml:space="preserve">m the reality that </w:t>
      </w:r>
      <w:r w:rsidR="00C5675C" w:rsidRPr="006319C6">
        <w:rPr>
          <w:rFonts w:ascii="Bookman Old Style" w:hAnsi="Bookman Old Style"/>
          <w:sz w:val="28"/>
          <w:szCs w:val="28"/>
        </w:rPr>
        <w:t>evidence in high level cases will need to come from the</w:t>
      </w:r>
      <w:r w:rsidR="001C3E61" w:rsidRPr="006319C6">
        <w:rPr>
          <w:rFonts w:ascii="Bookman Old Style" w:hAnsi="Bookman Old Style"/>
          <w:sz w:val="28"/>
          <w:szCs w:val="28"/>
        </w:rPr>
        <w:t xml:space="preserve"> </w:t>
      </w:r>
      <w:r w:rsidR="001F34DA" w:rsidRPr="006319C6">
        <w:rPr>
          <w:rFonts w:ascii="Bookman Old Style" w:hAnsi="Bookman Old Style"/>
          <w:sz w:val="28"/>
          <w:szCs w:val="28"/>
        </w:rPr>
        <w:t>S</w:t>
      </w:r>
      <w:r w:rsidR="00240D80" w:rsidRPr="006319C6">
        <w:rPr>
          <w:rFonts w:ascii="Bookman Old Style" w:hAnsi="Bookman Old Style"/>
          <w:sz w:val="28"/>
          <w:szCs w:val="28"/>
        </w:rPr>
        <w:t>tates that were invo</w:t>
      </w:r>
      <w:r w:rsidR="001C3E61" w:rsidRPr="006319C6">
        <w:rPr>
          <w:rFonts w:ascii="Bookman Old Style" w:hAnsi="Bookman Old Style"/>
          <w:sz w:val="28"/>
          <w:szCs w:val="28"/>
        </w:rPr>
        <w:t>lv</w:t>
      </w:r>
      <w:r w:rsidR="00240D80" w:rsidRPr="006319C6">
        <w:rPr>
          <w:rFonts w:ascii="Bookman Old Style" w:hAnsi="Bookman Old Style"/>
          <w:sz w:val="28"/>
          <w:szCs w:val="28"/>
        </w:rPr>
        <w:t xml:space="preserve">ed in the </w:t>
      </w:r>
      <w:r w:rsidR="00C5675C" w:rsidRPr="006319C6">
        <w:rPr>
          <w:rFonts w:ascii="Bookman Old Style" w:hAnsi="Bookman Old Style"/>
          <w:sz w:val="28"/>
          <w:szCs w:val="28"/>
        </w:rPr>
        <w:t>war</w:t>
      </w:r>
      <w:r w:rsidR="000D6BAA" w:rsidRPr="006319C6">
        <w:rPr>
          <w:rFonts w:ascii="Bookman Old Style" w:hAnsi="Bookman Old Style"/>
          <w:sz w:val="28"/>
          <w:szCs w:val="28"/>
        </w:rPr>
        <w:t>?</w:t>
      </w:r>
      <w:r w:rsidR="00B60DDE" w:rsidRPr="006319C6">
        <w:rPr>
          <w:rFonts w:ascii="Bookman Old Style" w:hAnsi="Bookman Old Style"/>
          <w:sz w:val="28"/>
          <w:szCs w:val="28"/>
        </w:rPr>
        <w:t xml:space="preserve"> </w:t>
      </w:r>
      <w:r w:rsidR="00C5675C" w:rsidRPr="006319C6">
        <w:rPr>
          <w:rFonts w:ascii="Bookman Old Style" w:hAnsi="Bookman Old Style"/>
          <w:sz w:val="28"/>
          <w:szCs w:val="28"/>
        </w:rPr>
        <w:t>The ICTY experi</w:t>
      </w:r>
      <w:r w:rsidR="00EF3742" w:rsidRPr="006319C6">
        <w:rPr>
          <w:rFonts w:ascii="Bookman Old Style" w:hAnsi="Bookman Old Style"/>
          <w:sz w:val="28"/>
          <w:szCs w:val="28"/>
        </w:rPr>
        <w:t>e</w:t>
      </w:r>
      <w:r w:rsidR="00C5675C" w:rsidRPr="006319C6">
        <w:rPr>
          <w:rFonts w:ascii="Bookman Old Style" w:hAnsi="Bookman Old Style"/>
          <w:sz w:val="28"/>
          <w:szCs w:val="28"/>
        </w:rPr>
        <w:t>nce showed that n</w:t>
      </w:r>
      <w:r w:rsidRPr="006319C6">
        <w:rPr>
          <w:rFonts w:ascii="Bookman Old Style" w:hAnsi="Bookman Old Style"/>
          <w:sz w:val="28"/>
          <w:szCs w:val="28"/>
        </w:rPr>
        <w:t>ot all relevant parties engage in legal processes with justice and truth in mind. There are examples, at national and international courts dealing with mass atrocitie</w:t>
      </w:r>
      <w:r w:rsidR="001F34DA" w:rsidRPr="006319C6">
        <w:rPr>
          <w:rFonts w:ascii="Bookman Old Style" w:hAnsi="Bookman Old Style"/>
          <w:sz w:val="28"/>
          <w:szCs w:val="28"/>
        </w:rPr>
        <w:t>s, of outside interventions by S</w:t>
      </w:r>
      <w:r w:rsidRPr="006319C6">
        <w:rPr>
          <w:rFonts w:ascii="Bookman Old Style" w:hAnsi="Bookman Old Style"/>
          <w:sz w:val="28"/>
          <w:szCs w:val="28"/>
        </w:rPr>
        <w:t>tates aiming to suppress evidence, to undermine truth</w:t>
      </w:r>
      <w:r w:rsidR="001F34DA" w:rsidRPr="006319C6">
        <w:rPr>
          <w:rFonts w:ascii="Bookman Old Style" w:hAnsi="Bookman Old Style"/>
          <w:sz w:val="28"/>
          <w:szCs w:val="28"/>
        </w:rPr>
        <w:t>,</w:t>
      </w:r>
      <w:r w:rsidRPr="006319C6">
        <w:rPr>
          <w:rFonts w:ascii="Bookman Old Style" w:hAnsi="Bookman Old Style"/>
          <w:sz w:val="28"/>
          <w:szCs w:val="28"/>
        </w:rPr>
        <w:t xml:space="preserve"> and to create a counter-narrative for </w:t>
      </w:r>
      <w:r w:rsidR="005D693B" w:rsidRPr="006319C6">
        <w:rPr>
          <w:rFonts w:ascii="Bookman Old Style" w:hAnsi="Bookman Old Style"/>
          <w:sz w:val="28"/>
          <w:szCs w:val="28"/>
        </w:rPr>
        <w:t>various</w:t>
      </w:r>
      <w:r w:rsidRPr="006319C6">
        <w:rPr>
          <w:rFonts w:ascii="Bookman Old Style" w:hAnsi="Bookman Old Style"/>
          <w:sz w:val="28"/>
          <w:szCs w:val="28"/>
        </w:rPr>
        <w:t xml:space="preserve"> reasons. States might act other than </w:t>
      </w:r>
      <w:r w:rsidR="00C562F7" w:rsidRPr="006319C6">
        <w:rPr>
          <w:rFonts w:ascii="Bookman Old Style" w:hAnsi="Bookman Old Style"/>
          <w:sz w:val="28"/>
          <w:szCs w:val="28"/>
        </w:rPr>
        <w:t xml:space="preserve">in </w:t>
      </w:r>
      <w:r w:rsidRPr="006319C6">
        <w:rPr>
          <w:rFonts w:ascii="Bookman Old Style" w:hAnsi="Bookman Old Style"/>
          <w:sz w:val="28"/>
          <w:szCs w:val="28"/>
        </w:rPr>
        <w:t xml:space="preserve">the </w:t>
      </w:r>
      <w:r w:rsidR="00C562F7" w:rsidRPr="006319C6">
        <w:rPr>
          <w:rFonts w:ascii="Bookman Old Style" w:hAnsi="Bookman Old Style"/>
          <w:sz w:val="28"/>
          <w:szCs w:val="28"/>
        </w:rPr>
        <w:t xml:space="preserve">genuine </w:t>
      </w:r>
      <w:r w:rsidRPr="006319C6">
        <w:rPr>
          <w:rFonts w:ascii="Bookman Old Style" w:hAnsi="Bookman Old Style"/>
          <w:sz w:val="28"/>
          <w:szCs w:val="28"/>
        </w:rPr>
        <w:lastRenderedPageBreak/>
        <w:t>pursuit of justice, even when they are compelled to cooperate with international crimina</w:t>
      </w:r>
      <w:r w:rsidR="001F34DA" w:rsidRPr="006319C6">
        <w:rPr>
          <w:rFonts w:ascii="Bookman Old Style" w:hAnsi="Bookman Old Style"/>
          <w:sz w:val="28"/>
          <w:szCs w:val="28"/>
        </w:rPr>
        <w:t xml:space="preserve">l tribunals and courts to open </w:t>
      </w:r>
    </w:p>
    <w:p w14:paraId="426D5FAB" w14:textId="75328E31" w:rsidR="00C80E96" w:rsidRPr="006319C6" w:rsidRDefault="001F34DA" w:rsidP="00A9165D">
      <w:pPr>
        <w:pStyle w:val="Paragraph"/>
        <w:spacing w:before="0" w:after="0" w:line="240" w:lineRule="auto"/>
        <w:rPr>
          <w:rFonts w:ascii="Bookman Old Style" w:hAnsi="Bookman Old Style"/>
          <w:color w:val="141414"/>
          <w:sz w:val="28"/>
          <w:szCs w:val="28"/>
        </w:rPr>
      </w:pPr>
      <w:r w:rsidRPr="006319C6">
        <w:rPr>
          <w:rFonts w:ascii="Bookman Old Style" w:hAnsi="Bookman Old Style"/>
          <w:sz w:val="28"/>
          <w:szCs w:val="28"/>
        </w:rPr>
        <w:t>S</w:t>
      </w:r>
      <w:r w:rsidR="00C80E96" w:rsidRPr="006319C6">
        <w:rPr>
          <w:rFonts w:ascii="Bookman Old Style" w:hAnsi="Bookman Old Style"/>
          <w:sz w:val="28"/>
          <w:szCs w:val="28"/>
        </w:rPr>
        <w:t>tate archives</w:t>
      </w:r>
      <w:r w:rsidR="00C562F7" w:rsidRPr="006319C6">
        <w:rPr>
          <w:rFonts w:ascii="Bookman Old Style" w:hAnsi="Bookman Old Style"/>
          <w:sz w:val="28"/>
          <w:szCs w:val="28"/>
        </w:rPr>
        <w:t>,</w:t>
      </w:r>
      <w:r w:rsidR="00C80E96" w:rsidRPr="006319C6">
        <w:rPr>
          <w:rFonts w:ascii="Bookman Old Style" w:hAnsi="Bookman Old Style"/>
          <w:sz w:val="28"/>
          <w:szCs w:val="28"/>
        </w:rPr>
        <w:t xml:space="preserve"> to make documentary evidence available at trial</w:t>
      </w:r>
      <w:r w:rsidR="00582540" w:rsidRPr="006319C6">
        <w:rPr>
          <w:rFonts w:ascii="Bookman Old Style" w:hAnsi="Bookman Old Style"/>
          <w:sz w:val="28"/>
          <w:szCs w:val="28"/>
        </w:rPr>
        <w:t>s</w:t>
      </w:r>
      <w:r w:rsidRPr="006319C6">
        <w:rPr>
          <w:rFonts w:ascii="Bookman Old Style" w:hAnsi="Bookman Old Style"/>
          <w:sz w:val="28"/>
          <w:szCs w:val="28"/>
        </w:rPr>
        <w:t>,</w:t>
      </w:r>
      <w:r w:rsidR="00C80E96" w:rsidRPr="006319C6">
        <w:rPr>
          <w:rFonts w:ascii="Bookman Old Style" w:hAnsi="Bookman Old Style"/>
          <w:sz w:val="28"/>
          <w:szCs w:val="28"/>
        </w:rPr>
        <w:t xml:space="preserve"> and to facilitate access to witnesses by the threat of U</w:t>
      </w:r>
      <w:r w:rsidRPr="006319C6">
        <w:rPr>
          <w:rFonts w:ascii="Bookman Old Style" w:hAnsi="Bookman Old Style"/>
          <w:sz w:val="28"/>
          <w:szCs w:val="28"/>
        </w:rPr>
        <w:t xml:space="preserve">nited </w:t>
      </w:r>
      <w:r w:rsidR="00C80E96" w:rsidRPr="006319C6">
        <w:rPr>
          <w:rFonts w:ascii="Bookman Old Style" w:hAnsi="Bookman Old Style"/>
          <w:sz w:val="28"/>
          <w:szCs w:val="28"/>
        </w:rPr>
        <w:t>N</w:t>
      </w:r>
      <w:r w:rsidRPr="006319C6">
        <w:rPr>
          <w:rFonts w:ascii="Bookman Old Style" w:hAnsi="Bookman Old Style"/>
          <w:sz w:val="28"/>
          <w:szCs w:val="28"/>
        </w:rPr>
        <w:t>ations</w:t>
      </w:r>
      <w:r w:rsidR="00C80E96" w:rsidRPr="006319C6">
        <w:rPr>
          <w:rFonts w:ascii="Bookman Old Style" w:hAnsi="Bookman Old Style"/>
          <w:sz w:val="28"/>
          <w:szCs w:val="28"/>
        </w:rPr>
        <w:t xml:space="preserve"> or E</w:t>
      </w:r>
      <w:r w:rsidRPr="006319C6">
        <w:rPr>
          <w:rFonts w:ascii="Bookman Old Style" w:hAnsi="Bookman Old Style"/>
          <w:sz w:val="28"/>
          <w:szCs w:val="28"/>
        </w:rPr>
        <w:t xml:space="preserve">uropean </w:t>
      </w:r>
      <w:r w:rsidR="00C80E96" w:rsidRPr="006319C6">
        <w:rPr>
          <w:rFonts w:ascii="Bookman Old Style" w:hAnsi="Bookman Old Style"/>
          <w:sz w:val="28"/>
          <w:szCs w:val="28"/>
        </w:rPr>
        <w:t>U</w:t>
      </w:r>
      <w:r w:rsidRPr="006319C6">
        <w:rPr>
          <w:rFonts w:ascii="Bookman Old Style" w:hAnsi="Bookman Old Style"/>
          <w:sz w:val="28"/>
          <w:szCs w:val="28"/>
        </w:rPr>
        <w:t>nion</w:t>
      </w:r>
      <w:r w:rsidR="00C80E96" w:rsidRPr="006319C6">
        <w:rPr>
          <w:rFonts w:ascii="Bookman Old Style" w:hAnsi="Bookman Old Style"/>
          <w:sz w:val="28"/>
          <w:szCs w:val="28"/>
        </w:rPr>
        <w:t xml:space="preserve"> sanction</w:t>
      </w:r>
      <w:r w:rsidR="00582540" w:rsidRPr="006319C6">
        <w:rPr>
          <w:rFonts w:ascii="Bookman Old Style" w:hAnsi="Bookman Old Style"/>
          <w:sz w:val="28"/>
          <w:szCs w:val="28"/>
        </w:rPr>
        <w:t>s</w:t>
      </w:r>
      <w:r w:rsidR="00C80E96" w:rsidRPr="006319C6">
        <w:rPr>
          <w:rFonts w:ascii="Bookman Old Style" w:hAnsi="Bookman Old Style"/>
          <w:sz w:val="28"/>
          <w:szCs w:val="28"/>
        </w:rPr>
        <w:t>. If so, and in order to avoid</w:t>
      </w:r>
      <w:r w:rsidR="00C562F7" w:rsidRPr="006319C6">
        <w:rPr>
          <w:rFonts w:ascii="Bookman Old Style" w:hAnsi="Bookman Old Style"/>
          <w:sz w:val="28"/>
          <w:szCs w:val="28"/>
        </w:rPr>
        <w:t xml:space="preserve"> being</w:t>
      </w:r>
      <w:r w:rsidR="00C80E96" w:rsidRPr="006319C6">
        <w:rPr>
          <w:rFonts w:ascii="Bookman Old Style" w:hAnsi="Bookman Old Style"/>
          <w:sz w:val="28"/>
          <w:szCs w:val="28"/>
        </w:rPr>
        <w:t xml:space="preserve"> sanction</w:t>
      </w:r>
      <w:r w:rsidR="00C562F7" w:rsidRPr="006319C6">
        <w:rPr>
          <w:rFonts w:ascii="Bookman Old Style" w:hAnsi="Bookman Old Style"/>
          <w:sz w:val="28"/>
          <w:szCs w:val="28"/>
        </w:rPr>
        <w:t>ed</w:t>
      </w:r>
      <w:r w:rsidRPr="006319C6">
        <w:rPr>
          <w:rFonts w:ascii="Bookman Old Style" w:hAnsi="Bookman Old Style"/>
          <w:sz w:val="28"/>
          <w:szCs w:val="28"/>
        </w:rPr>
        <w:t>, the S</w:t>
      </w:r>
      <w:r w:rsidR="00C80E96" w:rsidRPr="006319C6">
        <w:rPr>
          <w:rFonts w:ascii="Bookman Old Style" w:hAnsi="Bookman Old Style"/>
          <w:sz w:val="28"/>
          <w:szCs w:val="28"/>
        </w:rPr>
        <w:t>tates might engage in a subtle play of appearing to cooperate, while in reality trying –</w:t>
      </w:r>
      <w:r w:rsidRPr="006319C6">
        <w:rPr>
          <w:rFonts w:ascii="Bookman Old Style" w:hAnsi="Bookman Old Style"/>
          <w:sz w:val="28"/>
          <w:szCs w:val="28"/>
        </w:rPr>
        <w:t xml:space="preserve"> sometimes with marked success – t</w:t>
      </w:r>
      <w:r w:rsidR="00C80E96" w:rsidRPr="006319C6">
        <w:rPr>
          <w:rFonts w:ascii="Bookman Old Style" w:hAnsi="Bookman Old Style"/>
          <w:sz w:val="28"/>
          <w:szCs w:val="28"/>
        </w:rPr>
        <w:t xml:space="preserve">o keep damaging evidence from a court and from the public. </w:t>
      </w:r>
      <w:r w:rsidR="002E37D5" w:rsidRPr="006319C6">
        <w:rPr>
          <w:rFonts w:ascii="Bookman Old Style" w:hAnsi="Bookman Old Style"/>
          <w:sz w:val="28"/>
          <w:szCs w:val="28"/>
        </w:rPr>
        <w:t>T</w:t>
      </w:r>
      <w:r w:rsidR="00C80E96" w:rsidRPr="006319C6">
        <w:rPr>
          <w:rFonts w:ascii="Bookman Old Style" w:hAnsi="Bookman Old Style"/>
          <w:sz w:val="28"/>
          <w:szCs w:val="28"/>
        </w:rPr>
        <w:t xml:space="preserve">here </w:t>
      </w:r>
      <w:r w:rsidR="002E37D5" w:rsidRPr="006319C6">
        <w:rPr>
          <w:rFonts w:ascii="Bookman Old Style" w:hAnsi="Bookman Old Style"/>
          <w:sz w:val="28"/>
          <w:szCs w:val="28"/>
        </w:rPr>
        <w:t>can be</w:t>
      </w:r>
      <w:r w:rsidR="00C80E96" w:rsidRPr="006319C6">
        <w:rPr>
          <w:rFonts w:ascii="Bookman Old Style" w:hAnsi="Bookman Old Style"/>
          <w:sz w:val="28"/>
          <w:szCs w:val="28"/>
        </w:rPr>
        <w:t xml:space="preserve"> no</w:t>
      </w:r>
      <w:r w:rsidR="002E37D5" w:rsidRPr="006319C6">
        <w:rPr>
          <w:rFonts w:ascii="Bookman Old Style" w:hAnsi="Bookman Old Style"/>
          <w:sz w:val="28"/>
          <w:szCs w:val="28"/>
        </w:rPr>
        <w:t xml:space="preserve"> doubt that the cooperation of S</w:t>
      </w:r>
      <w:r w:rsidR="00C562F7" w:rsidRPr="006319C6">
        <w:rPr>
          <w:rFonts w:ascii="Bookman Old Style" w:hAnsi="Bookman Old Style"/>
          <w:sz w:val="28"/>
          <w:szCs w:val="28"/>
        </w:rPr>
        <w:t>t</w:t>
      </w:r>
      <w:r w:rsidR="00C80E96" w:rsidRPr="006319C6">
        <w:rPr>
          <w:rFonts w:ascii="Bookman Old Style" w:hAnsi="Bookman Old Style"/>
          <w:sz w:val="28"/>
          <w:szCs w:val="28"/>
        </w:rPr>
        <w:t xml:space="preserve">ates when it comes to </w:t>
      </w:r>
      <w:r w:rsidR="002E37D5" w:rsidRPr="006319C6">
        <w:rPr>
          <w:rFonts w:ascii="Bookman Old Style" w:hAnsi="Bookman Old Style"/>
          <w:sz w:val="28"/>
          <w:szCs w:val="28"/>
        </w:rPr>
        <w:t xml:space="preserve">the </w:t>
      </w:r>
      <w:r w:rsidR="00C80E96" w:rsidRPr="006319C6">
        <w:rPr>
          <w:rFonts w:ascii="Bookman Old Style" w:hAnsi="Bookman Old Style"/>
          <w:sz w:val="28"/>
          <w:szCs w:val="28"/>
        </w:rPr>
        <w:t>produc</w:t>
      </w:r>
      <w:r w:rsidR="002E37D5" w:rsidRPr="006319C6">
        <w:rPr>
          <w:rFonts w:ascii="Bookman Old Style" w:hAnsi="Bookman Old Style"/>
          <w:sz w:val="28"/>
          <w:szCs w:val="28"/>
        </w:rPr>
        <w:t>t</w:t>
      </w:r>
      <w:r w:rsidR="00C80E96" w:rsidRPr="006319C6">
        <w:rPr>
          <w:rFonts w:ascii="Bookman Old Style" w:hAnsi="Bookman Old Style"/>
          <w:sz w:val="28"/>
          <w:szCs w:val="28"/>
        </w:rPr>
        <w:t>ion of evidence is of paramount impo</w:t>
      </w:r>
      <w:r w:rsidR="002E37D5" w:rsidRPr="006319C6">
        <w:rPr>
          <w:rFonts w:ascii="Bookman Old Style" w:hAnsi="Bookman Old Style"/>
          <w:sz w:val="28"/>
          <w:szCs w:val="28"/>
        </w:rPr>
        <w:t>rtance for the success and inte</w:t>
      </w:r>
      <w:r w:rsidR="00C80E96" w:rsidRPr="006319C6">
        <w:rPr>
          <w:rFonts w:ascii="Bookman Old Style" w:hAnsi="Bookman Old Style"/>
          <w:sz w:val="28"/>
          <w:szCs w:val="28"/>
        </w:rPr>
        <w:t>gr</w:t>
      </w:r>
      <w:r w:rsidR="00C562F7" w:rsidRPr="006319C6">
        <w:rPr>
          <w:rFonts w:ascii="Bookman Old Style" w:hAnsi="Bookman Old Style"/>
          <w:sz w:val="28"/>
          <w:szCs w:val="28"/>
        </w:rPr>
        <w:t>i</w:t>
      </w:r>
      <w:r w:rsidR="00C80E96" w:rsidRPr="006319C6">
        <w:rPr>
          <w:rFonts w:ascii="Bookman Old Style" w:hAnsi="Bookman Old Style"/>
          <w:sz w:val="28"/>
          <w:szCs w:val="28"/>
        </w:rPr>
        <w:t>ty of mass atr</w:t>
      </w:r>
      <w:r w:rsidR="001D2980" w:rsidRPr="006319C6">
        <w:rPr>
          <w:rFonts w:ascii="Bookman Old Style" w:hAnsi="Bookman Old Style"/>
          <w:sz w:val="28"/>
          <w:szCs w:val="28"/>
        </w:rPr>
        <w:t>o</w:t>
      </w:r>
      <w:r w:rsidR="00C80E96" w:rsidRPr="006319C6">
        <w:rPr>
          <w:rFonts w:ascii="Bookman Old Style" w:hAnsi="Bookman Old Style"/>
          <w:sz w:val="28"/>
          <w:szCs w:val="28"/>
        </w:rPr>
        <w:t xml:space="preserve">cities trials. </w:t>
      </w:r>
    </w:p>
    <w:p w14:paraId="78FBE92D" w14:textId="14C57713" w:rsidR="00C80E96" w:rsidRPr="006319C6" w:rsidRDefault="00C80E96" w:rsidP="00A9165D">
      <w:pPr>
        <w:pStyle w:val="NT-Normal"/>
        <w:spacing w:before="0" w:line="240" w:lineRule="auto"/>
        <w:rPr>
          <w:rFonts w:ascii="Bookman Old Style" w:hAnsi="Bookman Old Style" w:cs="Times New Roman"/>
          <w:sz w:val="28"/>
          <w:szCs w:val="28"/>
        </w:rPr>
      </w:pPr>
      <w:r w:rsidRPr="006319C6">
        <w:rPr>
          <w:rFonts w:ascii="Bookman Old Style" w:hAnsi="Bookman Old Style" w:cs="Times New Roman"/>
          <w:sz w:val="28"/>
          <w:szCs w:val="28"/>
          <w:lang w:val="en-GB"/>
        </w:rPr>
        <w:tab/>
        <w:t>Notwithstanding the huge amount of audio, video, and written material that exists abou</w:t>
      </w:r>
      <w:r w:rsidR="002E37D5" w:rsidRPr="006319C6">
        <w:rPr>
          <w:rFonts w:ascii="Bookman Old Style" w:hAnsi="Bookman Old Style" w:cs="Times New Roman"/>
          <w:sz w:val="28"/>
          <w:szCs w:val="28"/>
          <w:lang w:val="en-GB"/>
        </w:rPr>
        <w:t>t the Yugoslav conflicts, ICTY p</w:t>
      </w:r>
      <w:r w:rsidRPr="006319C6">
        <w:rPr>
          <w:rFonts w:ascii="Bookman Old Style" w:hAnsi="Bookman Old Style" w:cs="Times New Roman"/>
          <w:sz w:val="28"/>
          <w:szCs w:val="28"/>
          <w:lang w:val="en-GB"/>
        </w:rPr>
        <w:t>rosecutors – unlike their Nuremberg counterparts – did not have full or easy access to documentary material from the archives of former leader</w:t>
      </w:r>
      <w:r w:rsidR="00C562F7" w:rsidRPr="006319C6">
        <w:rPr>
          <w:rFonts w:ascii="Bookman Old Style" w:hAnsi="Bookman Old Style" w:cs="Times New Roman"/>
          <w:sz w:val="28"/>
          <w:szCs w:val="28"/>
        </w:rPr>
        <w:t xml:space="preserve"> Milo</w:t>
      </w:r>
      <w:r w:rsidR="00C562F7" w:rsidRPr="006319C6">
        <w:rPr>
          <w:rFonts w:ascii="Bookman Old Style" w:hAnsi="Bookman Old Style" w:cs="Times New Roman"/>
          <w:sz w:val="28"/>
          <w:szCs w:val="28"/>
          <w:lang w:val="hr-HR"/>
        </w:rPr>
        <w:t>šević</w:t>
      </w:r>
      <w:r w:rsidRPr="006319C6">
        <w:rPr>
          <w:rFonts w:ascii="Bookman Old Style" w:hAnsi="Bookman Old Style" w:cs="Times New Roman"/>
          <w:sz w:val="28"/>
          <w:szCs w:val="28"/>
          <w:lang w:val="en-GB"/>
        </w:rPr>
        <w:t>’s country.</w:t>
      </w:r>
      <w:r w:rsidRPr="006319C6">
        <w:rPr>
          <w:rStyle w:val="FootnoteReference"/>
          <w:rFonts w:ascii="Bookman Old Style" w:hAnsi="Bookman Old Style"/>
          <w:sz w:val="28"/>
          <w:szCs w:val="28"/>
          <w:lang w:val="en-GB"/>
        </w:rPr>
        <w:footnoteReference w:id="58"/>
      </w:r>
      <w:r w:rsidRPr="006319C6">
        <w:rPr>
          <w:rFonts w:ascii="Bookman Old Style" w:hAnsi="Bookman Old Style" w:cs="Times New Roman"/>
          <w:sz w:val="28"/>
          <w:szCs w:val="28"/>
          <w:lang w:val="en-GB"/>
        </w:rPr>
        <w:t xml:space="preserve"> Documents from the official archives of the FRY and Serbia,</w:t>
      </w:r>
      <w:r w:rsidRPr="006319C6">
        <w:rPr>
          <w:rStyle w:val="FootnoteReference"/>
          <w:rFonts w:ascii="Bookman Old Style" w:hAnsi="Bookman Old Style"/>
          <w:sz w:val="28"/>
          <w:szCs w:val="28"/>
          <w:lang w:val="en-GB"/>
        </w:rPr>
        <w:t xml:space="preserve"> </w:t>
      </w:r>
      <w:r w:rsidRPr="006319C6">
        <w:rPr>
          <w:rStyle w:val="FootnoteReference"/>
          <w:rFonts w:ascii="Bookman Old Style" w:hAnsi="Bookman Old Style"/>
          <w:sz w:val="28"/>
          <w:szCs w:val="28"/>
          <w:lang w:val="en-GB"/>
        </w:rPr>
        <w:footnoteReference w:id="59"/>
      </w:r>
      <w:r w:rsidRPr="006319C6">
        <w:rPr>
          <w:rFonts w:ascii="Bookman Old Style" w:hAnsi="Bookman Old Style" w:cs="Times New Roman"/>
          <w:sz w:val="28"/>
          <w:szCs w:val="28"/>
          <w:lang w:val="en-GB"/>
        </w:rPr>
        <w:t xml:space="preserve"> considered more important from a forensic point of view than open source materials, were difficult and sometimes impossible to obtain. This was in stark contrast to the experience of prosecutors in Nuremberg, </w:t>
      </w:r>
      <w:r w:rsidR="00C562F7" w:rsidRPr="006319C6">
        <w:rPr>
          <w:rFonts w:ascii="Bookman Old Style" w:hAnsi="Bookman Old Style" w:cs="Times New Roman"/>
          <w:sz w:val="28"/>
          <w:szCs w:val="28"/>
          <w:lang w:val="en-GB"/>
        </w:rPr>
        <w:t>where</w:t>
      </w:r>
      <w:r w:rsidRPr="006319C6">
        <w:rPr>
          <w:rFonts w:ascii="Bookman Old Style" w:hAnsi="Bookman Old Style" w:cs="Times New Roman"/>
          <w:sz w:val="28"/>
          <w:szCs w:val="28"/>
          <w:lang w:val="en-GB"/>
        </w:rPr>
        <w:t xml:space="preserve"> Allie</w:t>
      </w:r>
      <w:r w:rsidR="002E37D5" w:rsidRPr="006319C6">
        <w:rPr>
          <w:rFonts w:ascii="Bookman Old Style" w:hAnsi="Bookman Old Style" w:cs="Times New Roman"/>
          <w:sz w:val="28"/>
          <w:szCs w:val="28"/>
          <w:lang w:val="en-GB"/>
        </w:rPr>
        <w:t>d Powers had simply seized the S</w:t>
      </w:r>
      <w:r w:rsidRPr="006319C6">
        <w:rPr>
          <w:rFonts w:ascii="Bookman Old Style" w:hAnsi="Bookman Old Style" w:cs="Times New Roman"/>
          <w:sz w:val="28"/>
          <w:szCs w:val="28"/>
          <w:lang w:val="en-GB"/>
        </w:rPr>
        <w:t xml:space="preserve">tate and Nazi Party archives of defeated Germany for use as evidence in court. </w:t>
      </w:r>
      <w:r w:rsidR="00642D68" w:rsidRPr="006319C6">
        <w:rPr>
          <w:rFonts w:ascii="Bookman Old Style" w:hAnsi="Bookman Old Style" w:cs="Times New Roman"/>
          <w:sz w:val="28"/>
          <w:szCs w:val="28"/>
        </w:rPr>
        <w:t>S</w:t>
      </w:r>
      <w:r w:rsidRPr="006319C6">
        <w:rPr>
          <w:rFonts w:ascii="Bookman Old Style" w:hAnsi="Bookman Old Style" w:cs="Times New Roman"/>
          <w:sz w:val="28"/>
          <w:szCs w:val="28"/>
        </w:rPr>
        <w:t xml:space="preserve">ome of the most valuable evidence for the trials of Serb </w:t>
      </w:r>
      <w:proofErr w:type="spellStart"/>
      <w:r w:rsidRPr="006319C6">
        <w:rPr>
          <w:rFonts w:ascii="Bookman Old Style" w:hAnsi="Bookman Old Style" w:cs="Times New Roman"/>
          <w:sz w:val="28"/>
          <w:szCs w:val="28"/>
        </w:rPr>
        <w:t>indictees</w:t>
      </w:r>
      <w:proofErr w:type="spellEnd"/>
      <w:r w:rsidRPr="006319C6">
        <w:rPr>
          <w:rFonts w:ascii="Bookman Old Style" w:hAnsi="Bookman Old Style" w:cs="Times New Roman"/>
          <w:sz w:val="28"/>
          <w:szCs w:val="28"/>
        </w:rPr>
        <w:t xml:space="preserve">, </w:t>
      </w:r>
      <w:r w:rsidR="00C562F7" w:rsidRPr="006319C6">
        <w:rPr>
          <w:rFonts w:ascii="Bookman Old Style" w:hAnsi="Bookman Old Style" w:cs="Times New Roman"/>
          <w:sz w:val="28"/>
          <w:szCs w:val="28"/>
        </w:rPr>
        <w:t xml:space="preserve">especially </w:t>
      </w:r>
      <w:r w:rsidRPr="006319C6">
        <w:rPr>
          <w:rFonts w:ascii="Bookman Old Style" w:hAnsi="Bookman Old Style" w:cs="Times New Roman"/>
          <w:sz w:val="28"/>
          <w:szCs w:val="28"/>
        </w:rPr>
        <w:t xml:space="preserve">for high level </w:t>
      </w:r>
      <w:r w:rsidR="00C562F7" w:rsidRPr="006319C6">
        <w:rPr>
          <w:rFonts w:ascii="Bookman Old Style" w:hAnsi="Bookman Old Style" w:cs="Times New Roman"/>
          <w:sz w:val="28"/>
          <w:szCs w:val="28"/>
        </w:rPr>
        <w:t xml:space="preserve">Serb </w:t>
      </w:r>
      <w:r w:rsidRPr="006319C6">
        <w:rPr>
          <w:rFonts w:ascii="Bookman Old Style" w:hAnsi="Bookman Old Style" w:cs="Times New Roman"/>
          <w:sz w:val="28"/>
          <w:szCs w:val="28"/>
        </w:rPr>
        <w:t>political and military leaders</w:t>
      </w:r>
      <w:r w:rsidR="00B60DDE" w:rsidRPr="006319C6">
        <w:rPr>
          <w:rFonts w:ascii="Bookman Old Style" w:hAnsi="Bookman Old Style" w:cs="Times New Roman"/>
          <w:sz w:val="28"/>
          <w:szCs w:val="28"/>
        </w:rPr>
        <w:t>,</w:t>
      </w:r>
      <w:r w:rsidR="00642D68" w:rsidRPr="006319C6">
        <w:rPr>
          <w:rFonts w:ascii="Bookman Old Style" w:hAnsi="Bookman Old Style" w:cs="Times New Roman"/>
          <w:sz w:val="28"/>
          <w:szCs w:val="28"/>
        </w:rPr>
        <w:t xml:space="preserve"> was in the S</w:t>
      </w:r>
      <w:r w:rsidRPr="006319C6">
        <w:rPr>
          <w:rFonts w:ascii="Bookman Old Style" w:hAnsi="Bookman Old Style" w:cs="Times New Roman"/>
          <w:sz w:val="28"/>
          <w:szCs w:val="28"/>
        </w:rPr>
        <w:t xml:space="preserve">tate archives of Serbia. </w:t>
      </w:r>
    </w:p>
    <w:p w14:paraId="732D5D2E" w14:textId="7B1E01D0" w:rsidR="00C80E96" w:rsidRPr="006319C6" w:rsidRDefault="00C80E96" w:rsidP="00A9165D">
      <w:pPr>
        <w:pStyle w:val="NT-Normal"/>
        <w:spacing w:before="0" w:line="240" w:lineRule="auto"/>
        <w:rPr>
          <w:rFonts w:ascii="Bookman Old Style" w:hAnsi="Bookman Old Style" w:cs="Times New Roman"/>
          <w:sz w:val="28"/>
          <w:szCs w:val="28"/>
        </w:rPr>
      </w:pPr>
      <w:r w:rsidRPr="006319C6">
        <w:rPr>
          <w:rFonts w:ascii="Bookman Old Style" w:hAnsi="Bookman Old Style" w:cs="Times New Roman"/>
          <w:sz w:val="28"/>
          <w:szCs w:val="28"/>
        </w:rPr>
        <w:tab/>
      </w:r>
      <w:proofErr w:type="spellStart"/>
      <w:r w:rsidRPr="006319C6">
        <w:rPr>
          <w:rFonts w:ascii="Bookman Old Style" w:hAnsi="Bookman Old Style" w:cs="Times New Roman"/>
          <w:sz w:val="28"/>
          <w:szCs w:val="28"/>
        </w:rPr>
        <w:t>Milošević‘s</w:t>
      </w:r>
      <w:proofErr w:type="spellEnd"/>
      <w:r w:rsidRPr="006319C6">
        <w:rPr>
          <w:rFonts w:ascii="Bookman Old Style" w:hAnsi="Bookman Old Style" w:cs="Times New Roman"/>
          <w:sz w:val="28"/>
          <w:szCs w:val="28"/>
        </w:rPr>
        <w:t xml:space="preserve"> trial was</w:t>
      </w:r>
      <w:r w:rsidR="00C562F7" w:rsidRPr="006319C6">
        <w:rPr>
          <w:rFonts w:ascii="Bookman Old Style" w:hAnsi="Bookman Old Style" w:cs="Times New Roman"/>
          <w:sz w:val="28"/>
          <w:szCs w:val="28"/>
        </w:rPr>
        <w:t>, to a degree,</w:t>
      </w:r>
      <w:r w:rsidRPr="006319C6">
        <w:rPr>
          <w:rFonts w:ascii="Bookman Old Style" w:hAnsi="Bookman Old Style" w:cs="Times New Roman"/>
          <w:sz w:val="28"/>
          <w:szCs w:val="28"/>
        </w:rPr>
        <w:t xml:space="preserve"> a breakthrough for </w:t>
      </w:r>
      <w:r w:rsidR="001D2980" w:rsidRPr="006319C6">
        <w:rPr>
          <w:rFonts w:ascii="Bookman Old Style" w:hAnsi="Bookman Old Style" w:cs="Times New Roman"/>
          <w:sz w:val="28"/>
          <w:szCs w:val="28"/>
        </w:rPr>
        <w:t xml:space="preserve">the </w:t>
      </w:r>
      <w:r w:rsidRPr="006319C6">
        <w:rPr>
          <w:rFonts w:ascii="Bookman Old Style" w:hAnsi="Bookman Old Style" w:cs="Times New Roman"/>
          <w:sz w:val="28"/>
          <w:szCs w:val="28"/>
        </w:rPr>
        <w:t xml:space="preserve">ICTY in its cooperation with Serbia. With </w:t>
      </w:r>
      <w:proofErr w:type="spellStart"/>
      <w:r w:rsidRPr="006319C6">
        <w:rPr>
          <w:rFonts w:ascii="Bookman Old Style" w:hAnsi="Bookman Old Style" w:cs="Times New Roman"/>
          <w:sz w:val="28"/>
          <w:szCs w:val="28"/>
        </w:rPr>
        <w:t>Milošević</w:t>
      </w:r>
      <w:proofErr w:type="spellEnd"/>
      <w:r w:rsidRPr="006319C6">
        <w:rPr>
          <w:rFonts w:ascii="Bookman Old Style" w:hAnsi="Bookman Old Style" w:cs="Times New Roman"/>
          <w:sz w:val="28"/>
          <w:szCs w:val="28"/>
        </w:rPr>
        <w:t xml:space="preserve"> in custody in 2001 and the trial about to start in 2002, the ICTY turned to Belgrade for evidence. The ICTY investigation focused on evidence of </w:t>
      </w:r>
      <w:proofErr w:type="spellStart"/>
      <w:r w:rsidRPr="006319C6">
        <w:rPr>
          <w:rFonts w:ascii="Bookman Old Style" w:hAnsi="Bookman Old Style" w:cs="Times New Roman"/>
          <w:sz w:val="28"/>
          <w:szCs w:val="28"/>
        </w:rPr>
        <w:t>Milošević’s</w:t>
      </w:r>
      <w:proofErr w:type="spellEnd"/>
      <w:r w:rsidRPr="006319C6">
        <w:rPr>
          <w:rFonts w:ascii="Bookman Old Style" w:hAnsi="Bookman Old Style" w:cs="Times New Roman"/>
          <w:sz w:val="28"/>
          <w:szCs w:val="28"/>
        </w:rPr>
        <w:t xml:space="preserve"> individual responsibility for using armed forces in the campaign of ethnic cleansing in the Serb designate</w:t>
      </w:r>
      <w:r w:rsidR="009F67EF" w:rsidRPr="006319C6">
        <w:rPr>
          <w:rFonts w:ascii="Bookman Old Style" w:hAnsi="Bookman Old Style" w:cs="Times New Roman"/>
          <w:sz w:val="28"/>
          <w:szCs w:val="28"/>
        </w:rPr>
        <w:t xml:space="preserve">d territories in Croatia and Bosnia and </w:t>
      </w:r>
      <w:proofErr w:type="spellStart"/>
      <w:r w:rsidR="009F67EF" w:rsidRPr="006319C6">
        <w:rPr>
          <w:rFonts w:ascii="Bookman Old Style" w:hAnsi="Bookman Old Style" w:cs="Times New Roman"/>
          <w:sz w:val="28"/>
          <w:szCs w:val="28"/>
        </w:rPr>
        <w:t>Herzogovina</w:t>
      </w:r>
      <w:proofErr w:type="spellEnd"/>
      <w:r w:rsidRPr="006319C6">
        <w:rPr>
          <w:rFonts w:ascii="Bookman Old Style" w:hAnsi="Bookman Old Style" w:cs="Times New Roman"/>
          <w:sz w:val="28"/>
          <w:szCs w:val="28"/>
        </w:rPr>
        <w:t xml:space="preserve">. </w:t>
      </w:r>
      <w:proofErr w:type="spellStart"/>
      <w:r w:rsidRPr="006319C6">
        <w:rPr>
          <w:rFonts w:ascii="Bookman Old Style" w:hAnsi="Bookman Old Style" w:cs="Times New Roman"/>
          <w:sz w:val="28"/>
          <w:szCs w:val="28"/>
        </w:rPr>
        <w:t>Milošević</w:t>
      </w:r>
      <w:proofErr w:type="spellEnd"/>
      <w:r w:rsidRPr="006319C6">
        <w:rPr>
          <w:rFonts w:ascii="Bookman Old Style" w:hAnsi="Bookman Old Style" w:cs="Times New Roman"/>
          <w:sz w:val="28"/>
          <w:szCs w:val="28"/>
        </w:rPr>
        <w:t xml:space="preserve"> was charged at the ICTY as an</w:t>
      </w:r>
      <w:r w:rsidR="00E45EC5" w:rsidRPr="006319C6">
        <w:rPr>
          <w:rFonts w:ascii="Bookman Old Style" w:hAnsi="Bookman Old Style" w:cs="Times New Roman"/>
          <w:sz w:val="28"/>
          <w:szCs w:val="28"/>
        </w:rPr>
        <w:t xml:space="preserve"> individual with genocide in Bosnia and </w:t>
      </w:r>
      <w:proofErr w:type="spellStart"/>
      <w:r w:rsidR="00E45EC5" w:rsidRPr="006319C6">
        <w:rPr>
          <w:rFonts w:ascii="Bookman Old Style" w:hAnsi="Bookman Old Style" w:cs="Times New Roman"/>
          <w:sz w:val="28"/>
          <w:szCs w:val="28"/>
        </w:rPr>
        <w:t>Herzogovina</w:t>
      </w:r>
      <w:proofErr w:type="spellEnd"/>
      <w:r w:rsidR="00B60DDE" w:rsidRPr="006319C6">
        <w:rPr>
          <w:rFonts w:ascii="Bookman Old Style" w:hAnsi="Bookman Old Style" w:cs="Times New Roman"/>
          <w:sz w:val="28"/>
          <w:szCs w:val="28"/>
        </w:rPr>
        <w:t xml:space="preserve">, </w:t>
      </w:r>
      <w:r w:rsidRPr="006319C6">
        <w:rPr>
          <w:rFonts w:ascii="Bookman Old Style" w:hAnsi="Bookman Old Style" w:cs="Times New Roman"/>
          <w:sz w:val="28"/>
          <w:szCs w:val="28"/>
        </w:rPr>
        <w:t>at Srebrenica</w:t>
      </w:r>
      <w:r w:rsidR="00E45EC5"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and a number of other municipalities</w:t>
      </w:r>
      <w:r w:rsidR="00B60DDE" w:rsidRPr="006319C6">
        <w:rPr>
          <w:rFonts w:ascii="Bookman Old Style" w:hAnsi="Bookman Old Style" w:cs="Times New Roman"/>
          <w:sz w:val="28"/>
          <w:szCs w:val="28"/>
        </w:rPr>
        <w:t xml:space="preserve">. </w:t>
      </w:r>
      <w:r w:rsidR="00AF3B69" w:rsidRPr="006319C6">
        <w:rPr>
          <w:rFonts w:ascii="Bookman Old Style" w:hAnsi="Bookman Old Style" w:cs="Times New Roman"/>
          <w:sz w:val="28"/>
          <w:szCs w:val="28"/>
        </w:rPr>
        <w:t>I</w:t>
      </w:r>
      <w:r w:rsidR="00325295" w:rsidRPr="006319C6">
        <w:rPr>
          <w:rFonts w:ascii="Bookman Old Style" w:hAnsi="Bookman Old Style" w:cs="Times New Roman"/>
          <w:sz w:val="28"/>
          <w:szCs w:val="28"/>
        </w:rPr>
        <w:t>n</w:t>
      </w:r>
      <w:r w:rsidR="00E45EC5" w:rsidRPr="006319C6">
        <w:rPr>
          <w:rFonts w:ascii="Bookman Old Style" w:hAnsi="Bookman Old Style" w:cs="Times New Roman"/>
          <w:sz w:val="28"/>
          <w:szCs w:val="28"/>
        </w:rPr>
        <w:t xml:space="preserve"> parallel, </w:t>
      </w:r>
      <w:r w:rsidRPr="006319C6">
        <w:rPr>
          <w:rFonts w:ascii="Bookman Old Style" w:hAnsi="Bookman Old Style" w:cs="Times New Roman"/>
          <w:sz w:val="28"/>
          <w:szCs w:val="28"/>
        </w:rPr>
        <w:t xml:space="preserve">Serbia </w:t>
      </w:r>
      <w:r w:rsidR="00E45EC5" w:rsidRPr="006319C6">
        <w:rPr>
          <w:rFonts w:ascii="Bookman Old Style" w:hAnsi="Bookman Old Style" w:cs="Times New Roman"/>
          <w:i/>
          <w:sz w:val="28"/>
          <w:szCs w:val="28"/>
        </w:rPr>
        <w:t>as a S</w:t>
      </w:r>
      <w:r w:rsidR="00AF3B69" w:rsidRPr="006319C6">
        <w:rPr>
          <w:rFonts w:ascii="Bookman Old Style" w:hAnsi="Bookman Old Style" w:cs="Times New Roman"/>
          <w:i/>
          <w:sz w:val="28"/>
          <w:szCs w:val="28"/>
        </w:rPr>
        <w:t>tate</w:t>
      </w:r>
      <w:r w:rsidR="00AF3B69" w:rsidRPr="006319C6">
        <w:rPr>
          <w:rFonts w:ascii="Bookman Old Style" w:hAnsi="Bookman Old Style" w:cs="Times New Roman"/>
          <w:sz w:val="28"/>
          <w:szCs w:val="28"/>
        </w:rPr>
        <w:t xml:space="preserve"> </w:t>
      </w:r>
      <w:r w:rsidR="00AF3B69" w:rsidRPr="006319C6">
        <w:rPr>
          <w:rFonts w:ascii="Bookman Old Style" w:hAnsi="Bookman Old Style" w:cs="Times New Roman"/>
          <w:sz w:val="28"/>
          <w:szCs w:val="28"/>
        </w:rPr>
        <w:lastRenderedPageBreak/>
        <w:t>was facing allegation</w:t>
      </w:r>
      <w:r w:rsidR="00325295" w:rsidRPr="006319C6">
        <w:rPr>
          <w:rFonts w:ascii="Bookman Old Style" w:hAnsi="Bookman Old Style" w:cs="Times New Roman"/>
          <w:sz w:val="28"/>
          <w:szCs w:val="28"/>
        </w:rPr>
        <w:t>s</w:t>
      </w:r>
      <w:r w:rsidR="00AF3B69" w:rsidRPr="006319C6">
        <w:rPr>
          <w:rFonts w:ascii="Bookman Old Style" w:hAnsi="Bookman Old Style" w:cs="Times New Roman"/>
          <w:sz w:val="28"/>
          <w:szCs w:val="28"/>
        </w:rPr>
        <w:t xml:space="preserve"> </w:t>
      </w:r>
      <w:r w:rsidR="00E45EC5" w:rsidRPr="006319C6">
        <w:rPr>
          <w:rFonts w:ascii="Bookman Old Style" w:hAnsi="Bookman Old Style" w:cs="Times New Roman"/>
          <w:sz w:val="28"/>
          <w:szCs w:val="28"/>
        </w:rPr>
        <w:t xml:space="preserve">laid by Bosnia and </w:t>
      </w:r>
      <w:proofErr w:type="spellStart"/>
      <w:r w:rsidR="00E45EC5" w:rsidRPr="006319C6">
        <w:rPr>
          <w:rFonts w:ascii="Bookman Old Style" w:hAnsi="Bookman Old Style" w:cs="Times New Roman"/>
          <w:sz w:val="28"/>
          <w:szCs w:val="28"/>
        </w:rPr>
        <w:t>Herzogovina</w:t>
      </w:r>
      <w:proofErr w:type="spellEnd"/>
      <w:r w:rsidR="00325295" w:rsidRPr="006319C6">
        <w:rPr>
          <w:rFonts w:ascii="Bookman Old Style" w:hAnsi="Bookman Old Style" w:cs="Times New Roman"/>
          <w:sz w:val="28"/>
          <w:szCs w:val="28"/>
        </w:rPr>
        <w:t xml:space="preserve"> in 1993 at the International Court of Justice </w:t>
      </w:r>
      <w:r w:rsidR="00325295" w:rsidRPr="006319C6">
        <w:rPr>
          <w:rFonts w:ascii="Bookman Old Style" w:hAnsi="Bookman Old Style" w:cs="Times New Roman"/>
          <w:sz w:val="28"/>
          <w:szCs w:val="28"/>
          <w:lang w:val="nl-NL"/>
        </w:rPr>
        <w:t>(</w:t>
      </w:r>
      <w:r w:rsidR="00325295" w:rsidRPr="006319C6">
        <w:rPr>
          <w:rFonts w:ascii="Bookman Old Style" w:hAnsi="Bookman Old Style" w:cs="Times New Roman"/>
          <w:sz w:val="28"/>
          <w:szCs w:val="28"/>
        </w:rPr>
        <w:t xml:space="preserve">ICJ) </w:t>
      </w:r>
      <w:r w:rsidR="00AF3B69" w:rsidRPr="006319C6">
        <w:rPr>
          <w:rFonts w:ascii="Bookman Old Style" w:hAnsi="Bookman Old Style" w:cs="Times New Roman"/>
          <w:sz w:val="28"/>
          <w:szCs w:val="28"/>
        </w:rPr>
        <w:t xml:space="preserve">that it had </w:t>
      </w:r>
      <w:r w:rsidRPr="006319C6">
        <w:rPr>
          <w:rFonts w:ascii="Bookman Old Style" w:hAnsi="Bookman Old Style" w:cs="Times New Roman"/>
          <w:sz w:val="28"/>
          <w:szCs w:val="28"/>
        </w:rPr>
        <w:t>breache</w:t>
      </w:r>
      <w:r w:rsidR="00325295" w:rsidRPr="006319C6">
        <w:rPr>
          <w:rFonts w:ascii="Bookman Old Style" w:hAnsi="Bookman Old Style" w:cs="Times New Roman"/>
          <w:sz w:val="28"/>
          <w:szCs w:val="28"/>
        </w:rPr>
        <w:t>d</w:t>
      </w:r>
      <w:r w:rsidRPr="006319C6">
        <w:rPr>
          <w:rFonts w:ascii="Bookman Old Style" w:hAnsi="Bookman Old Style" w:cs="Times New Roman"/>
          <w:sz w:val="28"/>
          <w:szCs w:val="28"/>
        </w:rPr>
        <w:t xml:space="preserve"> the </w:t>
      </w:r>
      <w:r w:rsidR="00325295" w:rsidRPr="006319C6">
        <w:rPr>
          <w:rFonts w:ascii="Bookman Old Style" w:hAnsi="Bookman Old Style" w:cs="Times New Roman"/>
          <w:sz w:val="28"/>
          <w:szCs w:val="28"/>
        </w:rPr>
        <w:t xml:space="preserve">1951 </w:t>
      </w:r>
      <w:r w:rsidRPr="006319C6">
        <w:rPr>
          <w:rFonts w:ascii="Bookman Old Style" w:hAnsi="Bookman Old Style" w:cs="Times New Roman"/>
          <w:sz w:val="28"/>
          <w:szCs w:val="28"/>
        </w:rPr>
        <w:t>Genocide Convention</w:t>
      </w:r>
      <w:r w:rsidR="00B60DDE" w:rsidRPr="006319C6">
        <w:rPr>
          <w:rFonts w:ascii="Bookman Old Style" w:hAnsi="Bookman Old Style" w:cs="Times New Roman"/>
          <w:sz w:val="28"/>
          <w:szCs w:val="28"/>
        </w:rPr>
        <w:t>.</w:t>
      </w:r>
      <w:r w:rsidRPr="006319C6">
        <w:rPr>
          <w:rStyle w:val="FootnoteReference"/>
          <w:rFonts w:ascii="Bookman Old Style" w:hAnsi="Bookman Old Style"/>
          <w:sz w:val="28"/>
          <w:szCs w:val="28"/>
        </w:rPr>
        <w:footnoteReference w:id="60"/>
      </w:r>
      <w:r w:rsidR="001C70B9" w:rsidRPr="006319C6">
        <w:rPr>
          <w:rFonts w:ascii="Bookman Old Style" w:hAnsi="Bookman Old Style" w:cs="Times New Roman"/>
          <w:sz w:val="28"/>
          <w:szCs w:val="28"/>
        </w:rPr>
        <w:t xml:space="preserve"> I</w:t>
      </w:r>
      <w:r w:rsidRPr="006319C6">
        <w:rPr>
          <w:rFonts w:ascii="Bookman Old Style" w:hAnsi="Bookman Old Style" w:cs="Times New Roman"/>
          <w:sz w:val="28"/>
          <w:szCs w:val="28"/>
        </w:rPr>
        <w:t>t was not only Milo</w:t>
      </w:r>
      <w:r w:rsidRPr="006319C6">
        <w:rPr>
          <w:rFonts w:ascii="Bookman Old Style" w:hAnsi="Bookman Old Style" w:cs="Times New Roman"/>
          <w:sz w:val="28"/>
          <w:szCs w:val="28"/>
          <w:lang w:val="hr-HR"/>
        </w:rPr>
        <w:t>š</w:t>
      </w:r>
      <w:proofErr w:type="spellStart"/>
      <w:r w:rsidRPr="006319C6">
        <w:rPr>
          <w:rFonts w:ascii="Bookman Old Style" w:hAnsi="Bookman Old Style" w:cs="Times New Roman"/>
          <w:sz w:val="28"/>
          <w:szCs w:val="28"/>
        </w:rPr>
        <w:t>ević</w:t>
      </w:r>
      <w:proofErr w:type="spellEnd"/>
      <w:r w:rsidRPr="006319C6">
        <w:rPr>
          <w:rFonts w:ascii="Bookman Old Style" w:hAnsi="Bookman Old Style" w:cs="Times New Roman"/>
          <w:sz w:val="28"/>
          <w:szCs w:val="28"/>
        </w:rPr>
        <w:t xml:space="preserve"> who stood trial for criminal responsibili</w:t>
      </w:r>
      <w:r w:rsidR="001C70B9" w:rsidRPr="006319C6">
        <w:rPr>
          <w:rFonts w:ascii="Bookman Old Style" w:hAnsi="Bookman Old Style" w:cs="Times New Roman"/>
          <w:sz w:val="28"/>
          <w:szCs w:val="28"/>
        </w:rPr>
        <w:t xml:space="preserve">ty for the crime of genocide, for </w:t>
      </w:r>
      <w:r w:rsidRPr="006319C6">
        <w:rPr>
          <w:rFonts w:ascii="Bookman Old Style" w:hAnsi="Bookman Old Style" w:cs="Times New Roman"/>
          <w:sz w:val="28"/>
          <w:szCs w:val="28"/>
        </w:rPr>
        <w:t>at the ICJ a Genocide Convention breach can only be proved by first establishing the commission of the</w:t>
      </w:r>
      <w:r w:rsidR="001C70B9" w:rsidRPr="006319C6">
        <w:rPr>
          <w:rFonts w:ascii="Bookman Old Style" w:hAnsi="Bookman Old Style" w:cs="Times New Roman"/>
          <w:sz w:val="28"/>
          <w:szCs w:val="28"/>
        </w:rPr>
        <w:t xml:space="preserve"> relevant crime. The extended fourteen</w:t>
      </w:r>
      <w:r w:rsidRPr="006319C6">
        <w:rPr>
          <w:rFonts w:ascii="Bookman Old Style" w:hAnsi="Bookman Old Style" w:cs="Times New Roman"/>
          <w:sz w:val="28"/>
          <w:szCs w:val="28"/>
        </w:rPr>
        <w:t xml:space="preserve"> years of ICJ proceedings against Serbia were running in parallel with the Milo</w:t>
      </w:r>
      <w:r w:rsidRPr="006319C6">
        <w:rPr>
          <w:rFonts w:ascii="Bookman Old Style" w:hAnsi="Bookman Old Style" w:cs="Times New Roman"/>
          <w:sz w:val="28"/>
          <w:szCs w:val="28"/>
          <w:lang w:val="hr-HR"/>
        </w:rPr>
        <w:t>šević</w:t>
      </w:r>
      <w:r w:rsidRPr="006319C6">
        <w:rPr>
          <w:rFonts w:ascii="Bookman Old Style" w:hAnsi="Bookman Old Style" w:cs="Times New Roman"/>
          <w:sz w:val="28"/>
          <w:szCs w:val="28"/>
          <w:lang w:val="nl-NL"/>
        </w:rPr>
        <w:t xml:space="preserve"> trial at the ICTY for four years</w:t>
      </w:r>
      <w:r w:rsidR="00B60DDE" w:rsidRPr="006319C6">
        <w:rPr>
          <w:rFonts w:ascii="Bookman Old Style" w:hAnsi="Bookman Old Style" w:cs="Times New Roman"/>
          <w:sz w:val="28"/>
          <w:szCs w:val="28"/>
          <w:lang w:val="nl-NL"/>
        </w:rPr>
        <w:t xml:space="preserve">, </w:t>
      </w:r>
      <w:r w:rsidRPr="006319C6">
        <w:rPr>
          <w:rFonts w:ascii="Bookman Old Style" w:hAnsi="Bookman Old Style" w:cs="Times New Roman"/>
          <w:sz w:val="28"/>
          <w:szCs w:val="28"/>
          <w:lang w:val="nl-NL"/>
        </w:rPr>
        <w:t xml:space="preserve">from 2002 to 2006. </w:t>
      </w:r>
      <w:r w:rsidR="001C70B9" w:rsidRPr="006319C6">
        <w:rPr>
          <w:rFonts w:ascii="Bookman Old Style" w:hAnsi="Bookman Old Style" w:cs="Times New Roman"/>
          <w:sz w:val="28"/>
          <w:szCs w:val="28"/>
        </w:rPr>
        <w:t xml:space="preserve">There was </w:t>
      </w:r>
      <w:r w:rsidRPr="006319C6">
        <w:rPr>
          <w:rFonts w:ascii="Bookman Old Style" w:hAnsi="Bookman Old Style" w:cs="Times New Roman"/>
          <w:sz w:val="28"/>
          <w:szCs w:val="28"/>
        </w:rPr>
        <w:t xml:space="preserve">a considerable </w:t>
      </w:r>
      <w:r w:rsidR="00806E59" w:rsidRPr="006319C6">
        <w:rPr>
          <w:rFonts w:ascii="Bookman Old Style" w:hAnsi="Bookman Old Style" w:cs="Times New Roman"/>
          <w:sz w:val="28"/>
          <w:szCs w:val="28"/>
        </w:rPr>
        <w:t>“</w:t>
      </w:r>
      <w:r w:rsidRPr="006319C6">
        <w:rPr>
          <w:rFonts w:ascii="Bookman Old Style" w:hAnsi="Bookman Old Style" w:cs="Times New Roman"/>
          <w:sz w:val="28"/>
          <w:szCs w:val="28"/>
        </w:rPr>
        <w:t>overlap</w:t>
      </w:r>
      <w:r w:rsidR="00806E59"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of evidence needed to prove </w:t>
      </w:r>
      <w:proofErr w:type="spellStart"/>
      <w:r w:rsidRPr="006319C6">
        <w:rPr>
          <w:rFonts w:ascii="Bookman Old Style" w:hAnsi="Bookman Old Style" w:cs="Times New Roman"/>
          <w:sz w:val="28"/>
          <w:szCs w:val="28"/>
        </w:rPr>
        <w:t>Milošević’s</w:t>
      </w:r>
      <w:proofErr w:type="spellEnd"/>
      <w:r w:rsidRPr="006319C6">
        <w:rPr>
          <w:rFonts w:ascii="Bookman Old Style" w:hAnsi="Bookman Old Style" w:cs="Times New Roman"/>
          <w:sz w:val="28"/>
          <w:szCs w:val="28"/>
        </w:rPr>
        <w:t xml:space="preserve"> culpability at the ICTY and evidence needed to prove Serbia’s convention breaches at the ICJ given that Milo</w:t>
      </w:r>
      <w:r w:rsidRPr="006319C6">
        <w:rPr>
          <w:rFonts w:ascii="Bookman Old Style" w:hAnsi="Bookman Old Style" w:cs="Times New Roman"/>
          <w:sz w:val="28"/>
          <w:szCs w:val="28"/>
          <w:lang w:val="hr-HR"/>
        </w:rPr>
        <w:t>š</w:t>
      </w:r>
      <w:proofErr w:type="spellStart"/>
      <w:r w:rsidRPr="006319C6">
        <w:rPr>
          <w:rFonts w:ascii="Bookman Old Style" w:hAnsi="Bookman Old Style" w:cs="Times New Roman"/>
          <w:sz w:val="28"/>
          <w:szCs w:val="28"/>
        </w:rPr>
        <w:t>ević</w:t>
      </w:r>
      <w:proofErr w:type="spellEnd"/>
      <w:r w:rsidRPr="006319C6">
        <w:rPr>
          <w:rFonts w:ascii="Bookman Old Style" w:hAnsi="Bookman Old Style" w:cs="Times New Roman"/>
          <w:sz w:val="28"/>
          <w:szCs w:val="28"/>
        </w:rPr>
        <w:t xml:space="preserve"> was charged with genocide at Srebrenica and six other </w:t>
      </w:r>
      <w:proofErr w:type="spellStart"/>
      <w:r w:rsidRPr="006319C6">
        <w:rPr>
          <w:rFonts w:ascii="Bookman Old Style" w:hAnsi="Bookman Old Style" w:cs="Times New Roman"/>
          <w:sz w:val="28"/>
          <w:szCs w:val="28"/>
        </w:rPr>
        <w:t>BiH</w:t>
      </w:r>
      <w:proofErr w:type="spellEnd"/>
      <w:r w:rsidRPr="006319C6">
        <w:rPr>
          <w:rFonts w:ascii="Bookman Old Style" w:hAnsi="Bookman Old Style" w:cs="Times New Roman"/>
          <w:sz w:val="28"/>
          <w:szCs w:val="28"/>
        </w:rPr>
        <w:t xml:space="preserve"> municipalities.</w:t>
      </w:r>
      <w:r w:rsidRPr="006319C6">
        <w:rPr>
          <w:rStyle w:val="FootnoteReference"/>
          <w:rFonts w:ascii="Bookman Old Style" w:hAnsi="Bookman Old Style"/>
          <w:sz w:val="28"/>
          <w:szCs w:val="28"/>
        </w:rPr>
        <w:footnoteReference w:id="61"/>
      </w:r>
      <w:r w:rsidRPr="006319C6">
        <w:rPr>
          <w:rFonts w:ascii="Bookman Old Style" w:hAnsi="Bookman Old Style" w:cs="Times New Roman"/>
          <w:sz w:val="28"/>
          <w:szCs w:val="28"/>
        </w:rPr>
        <w:t xml:space="preserve">  </w:t>
      </w:r>
    </w:p>
    <w:p w14:paraId="2F85DFD8" w14:textId="77777777" w:rsidR="009E1765" w:rsidRPr="006319C6" w:rsidRDefault="00C80E96"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p>
    <w:p w14:paraId="2E5C950A" w14:textId="347BBB11" w:rsidR="00C80E96" w:rsidRPr="006319C6" w:rsidRDefault="009E1765"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r w:rsidR="00C80E96" w:rsidRPr="006319C6">
        <w:rPr>
          <w:rFonts w:ascii="Bookman Old Style" w:hAnsi="Bookman Old Style"/>
          <w:sz w:val="28"/>
          <w:szCs w:val="28"/>
        </w:rPr>
        <w:t xml:space="preserve">The </w:t>
      </w:r>
      <w:r w:rsidR="00DD0380" w:rsidRPr="006319C6">
        <w:rPr>
          <w:rFonts w:ascii="Bookman Old Style" w:hAnsi="Bookman Old Style"/>
          <w:sz w:val="28"/>
          <w:szCs w:val="28"/>
        </w:rPr>
        <w:t xml:space="preserve">ICTY </w:t>
      </w:r>
      <w:r w:rsidR="001C70B9" w:rsidRPr="006319C6">
        <w:rPr>
          <w:rFonts w:ascii="Bookman Old Style" w:hAnsi="Bookman Old Style"/>
          <w:sz w:val="28"/>
          <w:szCs w:val="28"/>
        </w:rPr>
        <w:t>prosecution</w:t>
      </w:r>
      <w:r w:rsidR="00C80E96" w:rsidRPr="006319C6">
        <w:rPr>
          <w:rFonts w:ascii="Bookman Old Style" w:hAnsi="Bookman Old Style"/>
          <w:sz w:val="28"/>
          <w:szCs w:val="28"/>
        </w:rPr>
        <w:t xml:space="preserve"> inve</w:t>
      </w:r>
      <w:r w:rsidR="001C70B9" w:rsidRPr="006319C6">
        <w:rPr>
          <w:rFonts w:ascii="Bookman Old Style" w:hAnsi="Bookman Old Style"/>
          <w:sz w:val="28"/>
          <w:szCs w:val="28"/>
        </w:rPr>
        <w:t>stigators found</w:t>
      </w:r>
      <w:r w:rsidR="00C80E96" w:rsidRPr="006319C6">
        <w:rPr>
          <w:rFonts w:ascii="Bookman Old Style" w:hAnsi="Bookman Old Style"/>
          <w:sz w:val="28"/>
          <w:szCs w:val="28"/>
        </w:rPr>
        <w:t xml:space="preserve"> valuable evidence in the collections of documents of three important political bodies that had powers to command armed forces: the Presidency of The Socialist Federal Republic of Yugoslavia (PSFRY – </w:t>
      </w:r>
      <w:r w:rsidR="00C80E96" w:rsidRPr="006319C6">
        <w:rPr>
          <w:rFonts w:ascii="Bookman Old Style" w:hAnsi="Bookman Old Style"/>
          <w:i/>
          <w:sz w:val="28"/>
          <w:szCs w:val="28"/>
        </w:rPr>
        <w:t>Predsjedn</w:t>
      </w:r>
      <w:r w:rsidR="00C80E96" w:rsidRPr="006319C6">
        <w:rPr>
          <w:rFonts w:ascii="Bookman Old Style" w:hAnsi="Bookman Old Style"/>
          <w:i/>
          <w:sz w:val="28"/>
          <w:szCs w:val="28"/>
          <w:lang w:val="hr-HR"/>
        </w:rPr>
        <w:t>ištvo SFRJ</w:t>
      </w:r>
      <w:r w:rsidR="00C80E96" w:rsidRPr="006319C6">
        <w:rPr>
          <w:rFonts w:ascii="Bookman Old Style" w:hAnsi="Bookman Old Style"/>
          <w:sz w:val="28"/>
          <w:szCs w:val="28"/>
        </w:rPr>
        <w:t>)</w:t>
      </w:r>
      <w:r w:rsidR="00C80E96" w:rsidRPr="006319C6">
        <w:rPr>
          <w:rFonts w:ascii="Bookman Old Style" w:hAnsi="Bookman Old Style"/>
          <w:sz w:val="28"/>
          <w:szCs w:val="28"/>
          <w:lang w:val="en-US"/>
        </w:rPr>
        <w:t>;</w:t>
      </w:r>
      <w:r w:rsidR="002C13D8" w:rsidRPr="006319C6">
        <w:rPr>
          <w:rFonts w:ascii="Bookman Old Style" w:hAnsi="Bookman Old Style"/>
          <w:sz w:val="28"/>
          <w:szCs w:val="28"/>
        </w:rPr>
        <w:t xml:space="preserve"> the Supreme Defens</w:t>
      </w:r>
      <w:r w:rsidR="00C80E96" w:rsidRPr="006319C6">
        <w:rPr>
          <w:rFonts w:ascii="Bookman Old Style" w:hAnsi="Bookman Old Style"/>
          <w:sz w:val="28"/>
          <w:szCs w:val="28"/>
        </w:rPr>
        <w:t xml:space="preserve">e Council (SDC or VSO - </w:t>
      </w:r>
      <w:r w:rsidR="00C80E96" w:rsidRPr="006319C6">
        <w:rPr>
          <w:rFonts w:ascii="Bookman Old Style" w:hAnsi="Bookman Old Style"/>
          <w:i/>
          <w:sz w:val="28"/>
          <w:szCs w:val="28"/>
        </w:rPr>
        <w:t>Vrhovni savet odbrane</w:t>
      </w:r>
      <w:r w:rsidR="002C13D8" w:rsidRPr="006319C6">
        <w:rPr>
          <w:rFonts w:ascii="Bookman Old Style" w:hAnsi="Bookman Old Style"/>
          <w:sz w:val="28"/>
          <w:szCs w:val="28"/>
        </w:rPr>
        <w:t>); and t</w:t>
      </w:r>
      <w:r w:rsidR="00C80E96" w:rsidRPr="006319C6">
        <w:rPr>
          <w:rFonts w:ascii="Bookman Old Style" w:hAnsi="Bookman Old Style"/>
          <w:sz w:val="28"/>
          <w:szCs w:val="28"/>
        </w:rPr>
        <w:t xml:space="preserve">he </w:t>
      </w:r>
      <w:r w:rsidR="00806E59" w:rsidRPr="006319C6">
        <w:rPr>
          <w:rFonts w:ascii="Bookman Old Style" w:hAnsi="Bookman Old Style"/>
          <w:sz w:val="28"/>
          <w:szCs w:val="28"/>
        </w:rPr>
        <w:t>“</w:t>
      </w:r>
      <w:r w:rsidR="00C80E96" w:rsidRPr="006319C6">
        <w:rPr>
          <w:rFonts w:ascii="Bookman Old Style" w:hAnsi="Bookman Old Style"/>
          <w:sz w:val="28"/>
          <w:szCs w:val="28"/>
        </w:rPr>
        <w:t>Joint Command</w:t>
      </w:r>
      <w:r w:rsidR="00806E59" w:rsidRPr="006319C6">
        <w:rPr>
          <w:rFonts w:ascii="Bookman Old Style" w:hAnsi="Bookman Old Style"/>
          <w:sz w:val="28"/>
          <w:szCs w:val="28"/>
        </w:rPr>
        <w:t>”</w:t>
      </w:r>
      <w:r w:rsidR="00C80E96" w:rsidRPr="006319C6">
        <w:rPr>
          <w:rFonts w:ascii="Bookman Old Style" w:hAnsi="Bookman Old Style"/>
          <w:sz w:val="28"/>
          <w:szCs w:val="28"/>
        </w:rPr>
        <w:t xml:space="preserve"> (</w:t>
      </w:r>
      <w:r w:rsidR="00C80E96" w:rsidRPr="006319C6">
        <w:rPr>
          <w:rFonts w:ascii="Bookman Old Style" w:hAnsi="Bookman Old Style"/>
          <w:i/>
          <w:sz w:val="28"/>
          <w:szCs w:val="28"/>
        </w:rPr>
        <w:t>Zajedni</w:t>
      </w:r>
      <w:r w:rsidR="00C80E96" w:rsidRPr="006319C6">
        <w:rPr>
          <w:rFonts w:ascii="Bookman Old Style" w:hAnsi="Bookman Old Style"/>
          <w:i/>
          <w:sz w:val="28"/>
          <w:szCs w:val="28"/>
          <w:lang w:val="hr-HR"/>
        </w:rPr>
        <w:t>čka komanda</w:t>
      </w:r>
      <w:r w:rsidR="00C80E96" w:rsidRPr="006319C6">
        <w:rPr>
          <w:rFonts w:ascii="Bookman Old Style" w:hAnsi="Bookman Old Style"/>
          <w:sz w:val="28"/>
          <w:szCs w:val="28"/>
        </w:rPr>
        <w:t xml:space="preserve">) for </w:t>
      </w:r>
      <w:r w:rsidR="002C13D8" w:rsidRPr="006319C6">
        <w:rPr>
          <w:rFonts w:ascii="Bookman Old Style" w:hAnsi="Bookman Old Style"/>
          <w:sz w:val="28"/>
          <w:szCs w:val="28"/>
        </w:rPr>
        <w:t>Kosovo. These were the highest S</w:t>
      </w:r>
      <w:r w:rsidR="00C80E96" w:rsidRPr="006319C6">
        <w:rPr>
          <w:rFonts w:ascii="Bookman Old Style" w:hAnsi="Bookman Old Style"/>
          <w:sz w:val="28"/>
          <w:szCs w:val="28"/>
        </w:rPr>
        <w:t xml:space="preserve">tate bodies in charge of commanding the armed forces in the different periods of the three wars: the Presidency </w:t>
      </w:r>
      <w:r w:rsidR="00B60DDE" w:rsidRPr="006319C6">
        <w:rPr>
          <w:rFonts w:ascii="Bookman Old Style" w:hAnsi="Bookman Old Style"/>
          <w:sz w:val="28"/>
          <w:szCs w:val="28"/>
        </w:rPr>
        <w:t xml:space="preserve">of </w:t>
      </w:r>
      <w:r w:rsidR="00C80E96" w:rsidRPr="006319C6">
        <w:rPr>
          <w:rFonts w:ascii="Bookman Old Style" w:hAnsi="Bookman Old Style"/>
          <w:sz w:val="28"/>
          <w:szCs w:val="28"/>
        </w:rPr>
        <w:t>SFRY was r</w:t>
      </w:r>
      <w:r w:rsidR="002C13D8" w:rsidRPr="006319C6">
        <w:rPr>
          <w:rFonts w:ascii="Bookman Old Style" w:hAnsi="Bookman Old Style"/>
          <w:sz w:val="28"/>
          <w:szCs w:val="28"/>
        </w:rPr>
        <w:t>elevant for the Croatian and Bosnia and Herzogovina</w:t>
      </w:r>
      <w:r w:rsidR="00C80E96" w:rsidRPr="006319C6">
        <w:rPr>
          <w:rFonts w:ascii="Bookman Old Style" w:hAnsi="Bookman Old Style"/>
          <w:sz w:val="28"/>
          <w:szCs w:val="28"/>
        </w:rPr>
        <w:t xml:space="preserve"> wars; the SDC for </w:t>
      </w:r>
      <w:r w:rsidR="00B60DDE" w:rsidRPr="006319C6">
        <w:rPr>
          <w:rFonts w:ascii="Bookman Old Style" w:hAnsi="Bookman Old Style"/>
          <w:sz w:val="28"/>
          <w:szCs w:val="28"/>
        </w:rPr>
        <w:t xml:space="preserve">the </w:t>
      </w:r>
      <w:r w:rsidR="002C13D8" w:rsidRPr="006319C6">
        <w:rPr>
          <w:rFonts w:ascii="Bookman Old Style" w:hAnsi="Bookman Old Style"/>
          <w:sz w:val="28"/>
          <w:szCs w:val="28"/>
        </w:rPr>
        <w:t>Croatian, Bosnia and Herzogovina,</w:t>
      </w:r>
      <w:r w:rsidR="00C80E96" w:rsidRPr="006319C6">
        <w:rPr>
          <w:rFonts w:ascii="Bookman Old Style" w:hAnsi="Bookman Old Style"/>
          <w:sz w:val="28"/>
          <w:szCs w:val="28"/>
        </w:rPr>
        <w:t xml:space="preserve"> and Kosovo wars; and the Joint Command only for the Kosovo war. </w:t>
      </w:r>
    </w:p>
    <w:p w14:paraId="4D225F8A" w14:textId="185E69E4" w:rsidR="00634ACA" w:rsidRPr="006319C6" w:rsidRDefault="00C80E96"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t>Serbia's cooperation strategy in relation to the ICTY focused on keeping as much evidence as possible in the Milošević trial from public exposure if it was judge</w:t>
      </w:r>
      <w:r w:rsidR="002C13D8" w:rsidRPr="006319C6">
        <w:rPr>
          <w:rFonts w:ascii="Bookman Old Style" w:hAnsi="Bookman Old Style"/>
          <w:sz w:val="28"/>
          <w:szCs w:val="28"/>
        </w:rPr>
        <w:t>d that it could be of use to Bosnia and Herzogovina</w:t>
      </w:r>
      <w:r w:rsidRPr="006319C6">
        <w:rPr>
          <w:rFonts w:ascii="Bookman Old Style" w:hAnsi="Bookman Old Style"/>
          <w:sz w:val="28"/>
          <w:szCs w:val="28"/>
        </w:rPr>
        <w:t> in the ICJ proceedings. Minister of Justice Neboj</w:t>
      </w:r>
      <w:r w:rsidRPr="006319C6">
        <w:rPr>
          <w:rFonts w:ascii="Bookman Old Style" w:hAnsi="Bookman Old Style"/>
          <w:sz w:val="28"/>
          <w:szCs w:val="28"/>
          <w:lang w:val="hr-HR"/>
        </w:rPr>
        <w:t>š</w:t>
      </w:r>
      <w:r w:rsidRPr="006319C6">
        <w:rPr>
          <w:rFonts w:ascii="Bookman Old Style" w:hAnsi="Bookman Old Style"/>
          <w:sz w:val="28"/>
          <w:szCs w:val="28"/>
        </w:rPr>
        <w:t xml:space="preserve">a Šarkić of the FRY, </w:t>
      </w:r>
      <w:r w:rsidR="00806E59" w:rsidRPr="006319C6">
        <w:rPr>
          <w:rFonts w:ascii="Bookman Old Style" w:hAnsi="Bookman Old Style"/>
          <w:sz w:val="28"/>
          <w:szCs w:val="28"/>
        </w:rPr>
        <w:t>“</w:t>
      </w:r>
      <w:r w:rsidR="00DD0380" w:rsidRPr="006319C6">
        <w:rPr>
          <w:rFonts w:ascii="Bookman Old Style" w:hAnsi="Bookman Old Style"/>
          <w:sz w:val="28"/>
          <w:szCs w:val="28"/>
        </w:rPr>
        <w:t>gave the game away</w:t>
      </w:r>
      <w:r w:rsidR="00806E59" w:rsidRPr="006319C6">
        <w:rPr>
          <w:rFonts w:ascii="Bookman Old Style" w:hAnsi="Bookman Old Style"/>
          <w:sz w:val="28"/>
          <w:szCs w:val="28"/>
        </w:rPr>
        <w:t>”</w:t>
      </w:r>
      <w:r w:rsidR="00DD0380" w:rsidRPr="006319C6">
        <w:rPr>
          <w:rFonts w:ascii="Bookman Old Style" w:hAnsi="Bookman Old Style"/>
          <w:sz w:val="28"/>
          <w:szCs w:val="28"/>
        </w:rPr>
        <w:t xml:space="preserve"> on one occasion </w:t>
      </w:r>
      <w:r w:rsidRPr="006319C6">
        <w:rPr>
          <w:rFonts w:ascii="Bookman Old Style" w:hAnsi="Bookman Old Style"/>
          <w:sz w:val="28"/>
          <w:szCs w:val="28"/>
        </w:rPr>
        <w:t>when explaining t</w:t>
      </w:r>
      <w:r w:rsidR="00EC39ED" w:rsidRPr="006319C6">
        <w:rPr>
          <w:rFonts w:ascii="Bookman Old Style" w:hAnsi="Bookman Old Style"/>
          <w:sz w:val="28"/>
          <w:szCs w:val="28"/>
        </w:rPr>
        <w:t xml:space="preserve">hat the release of the requested </w:t>
      </w:r>
      <w:r w:rsidRPr="006319C6">
        <w:rPr>
          <w:rFonts w:ascii="Bookman Old Style" w:hAnsi="Bookman Old Style"/>
          <w:sz w:val="28"/>
          <w:szCs w:val="28"/>
        </w:rPr>
        <w:t xml:space="preserve">documents would only </w:t>
      </w:r>
      <w:r w:rsidR="00806E59" w:rsidRPr="006319C6">
        <w:rPr>
          <w:rFonts w:ascii="Bookman Old Style" w:hAnsi="Bookman Old Style"/>
          <w:sz w:val="28"/>
          <w:szCs w:val="28"/>
        </w:rPr>
        <w:t>“</w:t>
      </w:r>
      <w:r w:rsidRPr="006319C6">
        <w:rPr>
          <w:rFonts w:ascii="Bookman Old Style" w:hAnsi="Bookman Old Style"/>
          <w:sz w:val="28"/>
          <w:szCs w:val="28"/>
        </w:rPr>
        <w:t xml:space="preserve">be possible upon termination of disputes of FR Yugoslavia with </w:t>
      </w:r>
      <w:r w:rsidRPr="006319C6">
        <w:rPr>
          <w:rFonts w:ascii="Bookman Old Style" w:hAnsi="Bookman Old Style"/>
          <w:sz w:val="28"/>
          <w:szCs w:val="28"/>
        </w:rPr>
        <w:lastRenderedPageBreak/>
        <w:t>Bosnia and Herzegovina and Croatia before the International Court of Justice (ICJ)</w:t>
      </w:r>
      <w:r w:rsidR="00806E59" w:rsidRPr="006319C6">
        <w:rPr>
          <w:rFonts w:ascii="Bookman Old Style" w:hAnsi="Bookman Old Style"/>
          <w:sz w:val="28"/>
          <w:szCs w:val="28"/>
        </w:rPr>
        <w:t>”</w:t>
      </w:r>
      <w:r w:rsidRPr="006319C6">
        <w:rPr>
          <w:rFonts w:ascii="Bookman Old Style" w:hAnsi="Bookman Old Style"/>
          <w:sz w:val="28"/>
          <w:szCs w:val="28"/>
        </w:rPr>
        <w:t>.</w:t>
      </w:r>
      <w:r w:rsidRPr="006319C6">
        <w:rPr>
          <w:rStyle w:val="FootnoteReference"/>
          <w:rFonts w:ascii="Bookman Old Style" w:hAnsi="Bookman Old Style"/>
          <w:sz w:val="28"/>
          <w:szCs w:val="28"/>
        </w:rPr>
        <w:footnoteReference w:id="62"/>
      </w:r>
    </w:p>
    <w:p w14:paraId="794667C5" w14:textId="3CECC5C2" w:rsidR="00C80E96" w:rsidRPr="006319C6" w:rsidRDefault="00634ACA"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r w:rsidR="00C80E96" w:rsidRPr="006319C6">
        <w:rPr>
          <w:rFonts w:ascii="Bookman Old Style" w:hAnsi="Bookman Old Style"/>
          <w:sz w:val="28"/>
          <w:szCs w:val="28"/>
        </w:rPr>
        <w:t xml:space="preserve">The number of documents </w:t>
      </w:r>
      <w:r w:rsidR="00C80E96" w:rsidRPr="006319C6">
        <w:rPr>
          <w:rFonts w:ascii="Bookman Old Style" w:hAnsi="Bookman Old Style"/>
          <w:sz w:val="28"/>
          <w:szCs w:val="28"/>
          <w:lang w:val="en-US"/>
        </w:rPr>
        <w:t xml:space="preserve">requested but not received from Serbia </w:t>
      </w:r>
      <w:r w:rsidR="00C80E96" w:rsidRPr="006319C6">
        <w:rPr>
          <w:rFonts w:ascii="Bookman Old Style" w:hAnsi="Bookman Old Style"/>
          <w:sz w:val="28"/>
          <w:szCs w:val="28"/>
        </w:rPr>
        <w:t>grew significa</w:t>
      </w:r>
      <w:r w:rsidR="000F6D64" w:rsidRPr="006319C6">
        <w:rPr>
          <w:rFonts w:ascii="Bookman Old Style" w:hAnsi="Bookman Old Style"/>
          <w:sz w:val="28"/>
          <w:szCs w:val="28"/>
        </w:rPr>
        <w:t xml:space="preserve">ntly in the course of 2002; </w:t>
      </w:r>
      <w:r w:rsidR="00C80E96" w:rsidRPr="006319C6">
        <w:rPr>
          <w:rFonts w:ascii="Bookman Old Style" w:hAnsi="Bookman Old Style"/>
          <w:sz w:val="28"/>
          <w:szCs w:val="28"/>
        </w:rPr>
        <w:t xml:space="preserve">this prompted the Milošević prosecution team to initiate in December 2002 </w:t>
      </w:r>
      <w:r w:rsidR="00DD0380" w:rsidRPr="006319C6">
        <w:rPr>
          <w:rFonts w:ascii="Bookman Old Style" w:hAnsi="Bookman Old Style"/>
          <w:sz w:val="28"/>
          <w:szCs w:val="28"/>
        </w:rPr>
        <w:t>a</w:t>
      </w:r>
      <w:r w:rsidR="00C80E96" w:rsidRPr="006319C6">
        <w:rPr>
          <w:rFonts w:ascii="Bookman Old Style" w:hAnsi="Bookman Old Style"/>
          <w:sz w:val="28"/>
          <w:szCs w:val="28"/>
        </w:rPr>
        <w:t xml:space="preserve"> procedure known as </w:t>
      </w:r>
      <w:r w:rsidR="00806E59" w:rsidRPr="006319C6">
        <w:rPr>
          <w:rFonts w:ascii="Bookman Old Style" w:hAnsi="Bookman Old Style"/>
          <w:sz w:val="28"/>
          <w:szCs w:val="28"/>
        </w:rPr>
        <w:t>“</w:t>
      </w:r>
      <w:r w:rsidR="00C80E96" w:rsidRPr="006319C6">
        <w:rPr>
          <w:rFonts w:ascii="Bookman Old Style" w:hAnsi="Bookman Old Style"/>
          <w:sz w:val="28"/>
          <w:szCs w:val="28"/>
        </w:rPr>
        <w:t xml:space="preserve">Rule 54 </w:t>
      </w:r>
      <w:r w:rsidR="00C80E96" w:rsidRPr="006319C6">
        <w:rPr>
          <w:rFonts w:ascii="Bookman Old Style" w:hAnsi="Bookman Old Style"/>
          <w:i/>
          <w:sz w:val="28"/>
          <w:szCs w:val="28"/>
        </w:rPr>
        <w:t>bis</w:t>
      </w:r>
      <w:r w:rsidR="00806E59" w:rsidRPr="006319C6">
        <w:rPr>
          <w:rFonts w:ascii="Bookman Old Style" w:hAnsi="Bookman Old Style"/>
          <w:sz w:val="28"/>
          <w:szCs w:val="28"/>
        </w:rPr>
        <w:t>”</w:t>
      </w:r>
      <w:r w:rsidR="00C80E96" w:rsidRPr="006319C6">
        <w:rPr>
          <w:rFonts w:ascii="Bookman Old Style" w:hAnsi="Bookman Old Style"/>
          <w:sz w:val="28"/>
          <w:szCs w:val="28"/>
        </w:rPr>
        <w:t>, by which the Court can i</w:t>
      </w:r>
      <w:r w:rsidR="000F6D64" w:rsidRPr="006319C6">
        <w:rPr>
          <w:rFonts w:ascii="Bookman Old Style" w:hAnsi="Bookman Old Style"/>
          <w:sz w:val="28"/>
          <w:szCs w:val="28"/>
        </w:rPr>
        <w:t>ssue orders to S</w:t>
      </w:r>
      <w:r w:rsidR="00C80E96" w:rsidRPr="006319C6">
        <w:rPr>
          <w:rFonts w:ascii="Bookman Old Style" w:hAnsi="Bookman Old Style"/>
          <w:sz w:val="28"/>
          <w:szCs w:val="28"/>
        </w:rPr>
        <w:t>tates for production of documents. In the case of unsati</w:t>
      </w:r>
      <w:r w:rsidR="000F6D64" w:rsidRPr="006319C6">
        <w:rPr>
          <w:rFonts w:ascii="Bookman Old Style" w:hAnsi="Bookman Old Style"/>
          <w:sz w:val="28"/>
          <w:szCs w:val="28"/>
        </w:rPr>
        <w:t>sfactory cooperation, the ICTY</w:t>
      </w:r>
      <w:r w:rsidR="00C80E96" w:rsidRPr="006319C6">
        <w:rPr>
          <w:rFonts w:ascii="Bookman Old Style" w:hAnsi="Bookman Old Style"/>
          <w:sz w:val="28"/>
          <w:szCs w:val="28"/>
        </w:rPr>
        <w:t xml:space="preserve"> Office </w:t>
      </w:r>
      <w:r w:rsidR="000F6D64" w:rsidRPr="006319C6">
        <w:rPr>
          <w:rFonts w:ascii="Bookman Old Style" w:hAnsi="Bookman Old Style"/>
          <w:sz w:val="28"/>
          <w:szCs w:val="28"/>
        </w:rPr>
        <w:t>of the Prosecutor (OTP) - or a defense t</w:t>
      </w:r>
      <w:r w:rsidR="00C80E96" w:rsidRPr="006319C6">
        <w:rPr>
          <w:rFonts w:ascii="Bookman Old Style" w:hAnsi="Bookman Old Style"/>
          <w:sz w:val="28"/>
          <w:szCs w:val="28"/>
        </w:rPr>
        <w:t xml:space="preserve">eam if in a similar position  - could start the Rule 54 </w:t>
      </w:r>
      <w:r w:rsidR="00C80E96" w:rsidRPr="006319C6">
        <w:rPr>
          <w:rFonts w:ascii="Bookman Old Style" w:hAnsi="Bookman Old Style"/>
          <w:i/>
          <w:sz w:val="28"/>
          <w:szCs w:val="28"/>
        </w:rPr>
        <w:t>bis</w:t>
      </w:r>
      <w:r w:rsidR="00C80E96" w:rsidRPr="006319C6">
        <w:rPr>
          <w:rFonts w:ascii="Bookman Old Style" w:hAnsi="Bookman Old Style"/>
          <w:sz w:val="28"/>
          <w:szCs w:val="28"/>
        </w:rPr>
        <w:t xml:space="preserve"> procedure, allowing the parties, in theory, </w:t>
      </w:r>
      <w:r w:rsidR="000F6D64" w:rsidRPr="006319C6">
        <w:rPr>
          <w:rFonts w:ascii="Bookman Old Style" w:hAnsi="Bookman Old Style"/>
          <w:sz w:val="28"/>
          <w:szCs w:val="28"/>
        </w:rPr>
        <w:t>to obtain</w:t>
      </w:r>
      <w:r w:rsidR="00C80E96" w:rsidRPr="006319C6">
        <w:rPr>
          <w:rFonts w:ascii="Bookman Old Style" w:hAnsi="Bookman Old Style"/>
          <w:sz w:val="28"/>
          <w:szCs w:val="28"/>
        </w:rPr>
        <w:t xml:space="preserve"> the documents through a court order. In practice, the process of acquiring relevant evidence </w:t>
      </w:r>
      <w:r w:rsidR="00DD0380" w:rsidRPr="006319C6">
        <w:rPr>
          <w:rFonts w:ascii="Bookman Old Style" w:hAnsi="Bookman Old Style"/>
          <w:sz w:val="28"/>
          <w:szCs w:val="28"/>
        </w:rPr>
        <w:t xml:space="preserve">by a court order </w:t>
      </w:r>
      <w:r w:rsidR="00C80E96" w:rsidRPr="006319C6">
        <w:rPr>
          <w:rFonts w:ascii="Bookman Old Style" w:hAnsi="Bookman Old Style"/>
          <w:sz w:val="28"/>
          <w:szCs w:val="28"/>
        </w:rPr>
        <w:t>could take months or years and, in some cases, the requested evidence was never handed over.</w:t>
      </w:r>
      <w:r w:rsidR="00C80E96" w:rsidRPr="006319C6">
        <w:rPr>
          <w:rStyle w:val="FootnoteReference"/>
          <w:rFonts w:ascii="Bookman Old Style" w:hAnsi="Bookman Old Style"/>
          <w:sz w:val="28"/>
          <w:szCs w:val="28"/>
        </w:rPr>
        <w:footnoteReference w:id="63"/>
      </w:r>
      <w:r w:rsidR="00C80E96" w:rsidRPr="006319C6">
        <w:rPr>
          <w:rFonts w:ascii="Bookman Old Style" w:hAnsi="Bookman Old Style"/>
          <w:sz w:val="28"/>
          <w:szCs w:val="28"/>
        </w:rPr>
        <w:t xml:space="preserve"> </w:t>
      </w:r>
    </w:p>
    <w:p w14:paraId="1D07D7BF" w14:textId="6C4FBC7A" w:rsidR="00C80E96" w:rsidRPr="006319C6" w:rsidRDefault="00C80E96"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t>But in the immediate post-Milo</w:t>
      </w:r>
      <w:r w:rsidRPr="006319C6">
        <w:rPr>
          <w:rFonts w:ascii="Bookman Old Style" w:hAnsi="Bookman Old Style"/>
          <w:sz w:val="28"/>
          <w:szCs w:val="28"/>
          <w:lang w:val="hr-HR"/>
        </w:rPr>
        <w:t xml:space="preserve">šević period, </w:t>
      </w:r>
      <w:r w:rsidRPr="006319C6">
        <w:rPr>
          <w:rFonts w:ascii="Bookman Old Style" w:hAnsi="Bookman Old Style"/>
          <w:sz w:val="28"/>
          <w:szCs w:val="28"/>
        </w:rPr>
        <w:t>Serbia’s leadership appeared to b</w:t>
      </w:r>
      <w:r w:rsidR="00F73527" w:rsidRPr="006319C6">
        <w:rPr>
          <w:rFonts w:ascii="Bookman Old Style" w:hAnsi="Bookman Old Style"/>
          <w:sz w:val="28"/>
          <w:szCs w:val="28"/>
        </w:rPr>
        <w:t>e less interested in meeting a State</w:t>
      </w:r>
      <w:r w:rsidRPr="006319C6">
        <w:rPr>
          <w:rFonts w:ascii="Bookman Old Style" w:hAnsi="Bookman Old Style"/>
          <w:sz w:val="28"/>
          <w:szCs w:val="28"/>
        </w:rPr>
        <w:t xml:space="preserve"> obligation to cooperate with the ICTY for the purpose of rendering justice and establish</w:t>
      </w:r>
      <w:r w:rsidR="00F73527" w:rsidRPr="006319C6">
        <w:rPr>
          <w:rFonts w:ascii="Bookman Old Style" w:hAnsi="Bookman Old Style"/>
          <w:sz w:val="28"/>
          <w:szCs w:val="28"/>
        </w:rPr>
        <w:t>ing truth than in instrumentaliz</w:t>
      </w:r>
      <w:r w:rsidRPr="006319C6">
        <w:rPr>
          <w:rFonts w:ascii="Bookman Old Style" w:hAnsi="Bookman Old Style"/>
          <w:sz w:val="28"/>
          <w:szCs w:val="28"/>
        </w:rPr>
        <w:t xml:space="preserve">ing its </w:t>
      </w:r>
      <w:r w:rsidR="00806E59" w:rsidRPr="006319C6">
        <w:rPr>
          <w:rFonts w:ascii="Bookman Old Style" w:hAnsi="Bookman Old Style"/>
          <w:sz w:val="28"/>
          <w:szCs w:val="28"/>
        </w:rPr>
        <w:t>“</w:t>
      </w:r>
      <w:r w:rsidRPr="006319C6">
        <w:rPr>
          <w:rFonts w:ascii="Bookman Old Style" w:hAnsi="Bookman Old Style"/>
          <w:sz w:val="28"/>
          <w:szCs w:val="28"/>
        </w:rPr>
        <w:t>cooperation</w:t>
      </w:r>
      <w:r w:rsidR="00806E59" w:rsidRPr="006319C6">
        <w:rPr>
          <w:rFonts w:ascii="Bookman Old Style" w:hAnsi="Bookman Old Style"/>
          <w:sz w:val="28"/>
          <w:szCs w:val="28"/>
        </w:rPr>
        <w:t>”</w:t>
      </w:r>
      <w:r w:rsidRPr="006319C6">
        <w:rPr>
          <w:rFonts w:ascii="Bookman Old Style" w:hAnsi="Bookman Old Style"/>
          <w:sz w:val="28"/>
          <w:szCs w:val="28"/>
        </w:rPr>
        <w:t xml:space="preserve"> for a variety of political goals: to fight political opponents, to obtain international financial aid, and to gain admission to the European Union.</w:t>
      </w:r>
      <w:r w:rsidRPr="006319C6">
        <w:rPr>
          <w:rStyle w:val="FootnoteReference"/>
          <w:rFonts w:ascii="Bookman Old Style" w:hAnsi="Bookman Old Style"/>
          <w:sz w:val="28"/>
          <w:szCs w:val="28"/>
        </w:rPr>
        <w:footnoteReference w:id="64"/>
      </w:r>
      <w:r w:rsidR="00F73527" w:rsidRPr="006319C6">
        <w:rPr>
          <w:rFonts w:ascii="Bookman Old Style" w:hAnsi="Bookman Old Style"/>
          <w:sz w:val="28"/>
          <w:szCs w:val="28"/>
        </w:rPr>
        <w:t xml:space="preserve"> But perhaps</w:t>
      </w:r>
      <w:r w:rsidRPr="006319C6">
        <w:rPr>
          <w:rFonts w:ascii="Bookman Old Style" w:hAnsi="Bookman Old Style"/>
          <w:sz w:val="28"/>
          <w:szCs w:val="28"/>
        </w:rPr>
        <w:t xml:space="preserve"> the most important goal was to keep evidence from the the International Court of Justice (ICJ), bec</w:t>
      </w:r>
      <w:r w:rsidR="00347234" w:rsidRPr="006319C6">
        <w:rPr>
          <w:rFonts w:ascii="Bookman Old Style" w:hAnsi="Bookman Old Style"/>
          <w:sz w:val="28"/>
          <w:szCs w:val="28"/>
        </w:rPr>
        <w:t>au</w:t>
      </w:r>
      <w:r w:rsidRPr="006319C6">
        <w:rPr>
          <w:rFonts w:ascii="Bookman Old Style" w:hAnsi="Bookman Old Style"/>
          <w:sz w:val="28"/>
          <w:szCs w:val="28"/>
        </w:rPr>
        <w:t>se evidence requested for the trial of Slobodan Milo</w:t>
      </w:r>
      <w:r w:rsidRPr="006319C6">
        <w:rPr>
          <w:rFonts w:ascii="Bookman Old Style" w:hAnsi="Bookman Old Style"/>
          <w:sz w:val="28"/>
          <w:szCs w:val="28"/>
          <w:lang w:val="hr-HR"/>
        </w:rPr>
        <w:t>š</w:t>
      </w:r>
      <w:r w:rsidRPr="006319C6">
        <w:rPr>
          <w:rFonts w:ascii="Bookman Old Style" w:hAnsi="Bookman Old Style"/>
          <w:sz w:val="28"/>
          <w:szCs w:val="28"/>
        </w:rPr>
        <w:t xml:space="preserve">ević by the ICTY </w:t>
      </w:r>
      <w:r w:rsidR="00F73527" w:rsidRPr="006319C6">
        <w:rPr>
          <w:rFonts w:ascii="Bookman Old Style" w:hAnsi="Bookman Old Style"/>
          <w:sz w:val="28"/>
          <w:szCs w:val="28"/>
        </w:rPr>
        <w:t>could also be used against the S</w:t>
      </w:r>
      <w:r w:rsidRPr="006319C6">
        <w:rPr>
          <w:rFonts w:ascii="Bookman Old Style" w:hAnsi="Bookman Old Style"/>
          <w:sz w:val="28"/>
          <w:szCs w:val="28"/>
        </w:rPr>
        <w:t>tate of Serbia at the ICJ.</w:t>
      </w:r>
      <w:r w:rsidRPr="006319C6">
        <w:rPr>
          <w:rStyle w:val="FootnoteReference"/>
          <w:rFonts w:ascii="Bookman Old Style" w:hAnsi="Bookman Old Style"/>
          <w:sz w:val="28"/>
          <w:szCs w:val="28"/>
        </w:rPr>
        <w:footnoteReference w:id="65"/>
      </w:r>
    </w:p>
    <w:p w14:paraId="09C44715" w14:textId="77777777" w:rsidR="009E1765" w:rsidRPr="006319C6" w:rsidRDefault="00C80E96" w:rsidP="001057CF">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p>
    <w:p w14:paraId="5692515A" w14:textId="77777777" w:rsidR="009E1765" w:rsidRPr="006319C6" w:rsidRDefault="009E1765" w:rsidP="001057CF">
      <w:pPr>
        <w:pStyle w:val="Paragraph"/>
        <w:spacing w:before="0" w:after="0" w:line="240" w:lineRule="auto"/>
        <w:rPr>
          <w:rFonts w:ascii="Bookman Old Style" w:hAnsi="Bookman Old Style"/>
          <w:sz w:val="28"/>
          <w:szCs w:val="28"/>
        </w:rPr>
      </w:pPr>
    </w:p>
    <w:p w14:paraId="4647BEF7" w14:textId="77777777" w:rsidR="009E1765" w:rsidRPr="006319C6" w:rsidRDefault="009E1765" w:rsidP="001057CF">
      <w:pPr>
        <w:pStyle w:val="Paragraph"/>
        <w:spacing w:before="0" w:after="0" w:line="240" w:lineRule="auto"/>
        <w:rPr>
          <w:rFonts w:ascii="Bookman Old Style" w:hAnsi="Bookman Old Style"/>
          <w:sz w:val="28"/>
          <w:szCs w:val="28"/>
        </w:rPr>
      </w:pPr>
    </w:p>
    <w:p w14:paraId="4975D854" w14:textId="77777777" w:rsidR="009E1765" w:rsidRPr="006319C6" w:rsidRDefault="009E1765" w:rsidP="001057CF">
      <w:pPr>
        <w:pStyle w:val="Paragraph"/>
        <w:spacing w:before="0" w:after="0" w:line="240" w:lineRule="auto"/>
        <w:rPr>
          <w:rFonts w:ascii="Bookman Old Style" w:hAnsi="Bookman Old Style"/>
          <w:sz w:val="28"/>
          <w:szCs w:val="28"/>
        </w:rPr>
      </w:pPr>
    </w:p>
    <w:p w14:paraId="27403BFD" w14:textId="48F8FD1C" w:rsidR="001057CF" w:rsidRPr="006319C6" w:rsidRDefault="009E1765" w:rsidP="001057CF">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lastRenderedPageBreak/>
        <w:tab/>
      </w:r>
      <w:r w:rsidR="00C80E96" w:rsidRPr="006319C6">
        <w:rPr>
          <w:rFonts w:ascii="Bookman Old Style" w:hAnsi="Bookman Old Style"/>
          <w:sz w:val="28"/>
          <w:szCs w:val="28"/>
        </w:rPr>
        <w:t xml:space="preserve">Serbia would cite numerous reasons for noncompliance in their responses to OTP requests, from disappearance of documents during the NATO bombardments of premises where they had been stored to blunt denials of their existence in the first place. Serbia dragged out the process of </w:t>
      </w:r>
      <w:r w:rsidR="00806E59" w:rsidRPr="006319C6">
        <w:rPr>
          <w:rFonts w:ascii="Bookman Old Style" w:hAnsi="Bookman Old Style"/>
          <w:sz w:val="28"/>
          <w:szCs w:val="28"/>
        </w:rPr>
        <w:t>“</w:t>
      </w:r>
      <w:r w:rsidR="00C80E96" w:rsidRPr="006319C6">
        <w:rPr>
          <w:rFonts w:ascii="Bookman Old Style" w:hAnsi="Bookman Old Style"/>
          <w:sz w:val="28"/>
          <w:szCs w:val="28"/>
        </w:rPr>
        <w:t>cooperation</w:t>
      </w:r>
      <w:r w:rsidR="00806E59" w:rsidRPr="006319C6">
        <w:rPr>
          <w:rFonts w:ascii="Bookman Old Style" w:hAnsi="Bookman Old Style"/>
          <w:sz w:val="28"/>
          <w:szCs w:val="28"/>
        </w:rPr>
        <w:t>”</w:t>
      </w:r>
      <w:r w:rsidR="00C80E96" w:rsidRPr="006319C6">
        <w:rPr>
          <w:rFonts w:ascii="Bookman Old Style" w:hAnsi="Bookman Old Style"/>
          <w:sz w:val="28"/>
          <w:szCs w:val="28"/>
        </w:rPr>
        <w:t xml:space="preserve"> with long and i</w:t>
      </w:r>
      <w:r w:rsidR="00F73527" w:rsidRPr="006319C6">
        <w:rPr>
          <w:rFonts w:ascii="Bookman Old Style" w:hAnsi="Bookman Old Style"/>
          <w:sz w:val="28"/>
          <w:szCs w:val="28"/>
        </w:rPr>
        <w:t>ntensive negotiations with the p</w:t>
      </w:r>
      <w:r w:rsidR="00C80E96" w:rsidRPr="006319C6">
        <w:rPr>
          <w:rFonts w:ascii="Bookman Old Style" w:hAnsi="Bookman Old Style"/>
          <w:sz w:val="28"/>
          <w:szCs w:val="28"/>
        </w:rPr>
        <w:t>rosecution, sometimes succeed</w:t>
      </w:r>
      <w:r w:rsidR="005F76B3" w:rsidRPr="006319C6">
        <w:rPr>
          <w:rFonts w:ascii="Bookman Old Style" w:hAnsi="Bookman Old Style"/>
          <w:sz w:val="28"/>
          <w:szCs w:val="28"/>
        </w:rPr>
        <w:t>ed</w:t>
      </w:r>
      <w:r w:rsidR="00C80E96" w:rsidRPr="006319C6">
        <w:rPr>
          <w:rFonts w:ascii="Bookman Old Style" w:hAnsi="Bookman Old Style"/>
          <w:sz w:val="28"/>
          <w:szCs w:val="28"/>
        </w:rPr>
        <w:t xml:space="preserve"> by direct </w:t>
      </w:r>
      <w:r w:rsidR="00806E59" w:rsidRPr="006319C6">
        <w:rPr>
          <w:rFonts w:ascii="Bookman Old Style" w:hAnsi="Bookman Old Style"/>
          <w:sz w:val="28"/>
          <w:szCs w:val="28"/>
        </w:rPr>
        <w:t>“</w:t>
      </w:r>
      <w:r w:rsidR="00C80E96" w:rsidRPr="006319C6">
        <w:rPr>
          <w:rFonts w:ascii="Bookman Old Style" w:hAnsi="Bookman Old Style"/>
          <w:sz w:val="28"/>
          <w:szCs w:val="28"/>
        </w:rPr>
        <w:t>deals</w:t>
      </w:r>
      <w:r w:rsidR="00806E59" w:rsidRPr="006319C6">
        <w:rPr>
          <w:rFonts w:ascii="Bookman Old Style" w:hAnsi="Bookman Old Style"/>
          <w:sz w:val="28"/>
          <w:szCs w:val="28"/>
        </w:rPr>
        <w:t>”</w:t>
      </w:r>
      <w:r w:rsidR="00C80E96" w:rsidRPr="006319C6">
        <w:rPr>
          <w:rFonts w:ascii="Bookman Old Style" w:hAnsi="Bookman Old Style"/>
          <w:sz w:val="28"/>
          <w:szCs w:val="28"/>
        </w:rPr>
        <w:t xml:space="preserve"> with the Chief Prosecutor to secure protection </w:t>
      </w:r>
      <w:r w:rsidR="00347234" w:rsidRPr="006319C6">
        <w:rPr>
          <w:rFonts w:ascii="Bookman Old Style" w:hAnsi="Bookman Old Style"/>
          <w:sz w:val="28"/>
          <w:szCs w:val="28"/>
        </w:rPr>
        <w:t xml:space="preserve">from public view </w:t>
      </w:r>
      <w:r w:rsidR="00C80E96" w:rsidRPr="006319C6">
        <w:rPr>
          <w:rFonts w:ascii="Bookman Old Style" w:hAnsi="Bookman Old Style"/>
          <w:sz w:val="28"/>
          <w:szCs w:val="28"/>
        </w:rPr>
        <w:t xml:space="preserve">for the parts of the high level records that were selected as potentially damaging for Serbia at the ICJ. </w:t>
      </w:r>
    </w:p>
    <w:p w14:paraId="43343357" w14:textId="77777777" w:rsidR="001057CF" w:rsidRPr="006319C6" w:rsidRDefault="001057CF" w:rsidP="001057CF">
      <w:pPr>
        <w:pStyle w:val="Paragraph"/>
        <w:spacing w:before="0" w:after="0" w:line="240" w:lineRule="auto"/>
        <w:rPr>
          <w:rFonts w:ascii="Bookman Old Style" w:hAnsi="Bookman Old Style"/>
          <w:sz w:val="28"/>
          <w:szCs w:val="28"/>
        </w:rPr>
      </w:pPr>
    </w:p>
    <w:p w14:paraId="0B9057C2" w14:textId="05D22738" w:rsidR="00C5675C" w:rsidRPr="006319C6" w:rsidRDefault="001057CF" w:rsidP="001057CF">
      <w:pPr>
        <w:pStyle w:val="Paragraph"/>
        <w:spacing w:before="0" w:after="0" w:line="240" w:lineRule="auto"/>
        <w:rPr>
          <w:rFonts w:ascii="Bookman Old Style" w:hAnsi="Bookman Old Style"/>
          <w:sz w:val="28"/>
          <w:szCs w:val="28"/>
        </w:rPr>
      </w:pPr>
      <w:r w:rsidRPr="006319C6">
        <w:rPr>
          <w:rFonts w:ascii="Bookman Old Style" w:hAnsi="Bookman Old Style"/>
          <w:b/>
          <w:sz w:val="28"/>
          <w:szCs w:val="28"/>
        </w:rPr>
        <w:t xml:space="preserve">Obscuring </w:t>
      </w:r>
      <w:r w:rsidR="00C5675C" w:rsidRPr="006319C6">
        <w:rPr>
          <w:rFonts w:ascii="Bookman Old Style" w:hAnsi="Bookman Old Style"/>
          <w:b/>
          <w:sz w:val="28"/>
          <w:szCs w:val="28"/>
        </w:rPr>
        <w:t>Evidence</w:t>
      </w:r>
      <w:r w:rsidRPr="006319C6">
        <w:rPr>
          <w:rFonts w:ascii="Bookman Old Style" w:hAnsi="Bookman Old Style"/>
          <w:b/>
          <w:sz w:val="28"/>
          <w:szCs w:val="28"/>
        </w:rPr>
        <w:t xml:space="preserve"> Needed</w:t>
      </w:r>
      <w:r w:rsidR="00C5675C" w:rsidRPr="006319C6">
        <w:rPr>
          <w:rFonts w:ascii="Bookman Old Style" w:hAnsi="Bookman Old Style"/>
          <w:b/>
          <w:sz w:val="28"/>
          <w:szCs w:val="28"/>
        </w:rPr>
        <w:t xml:space="preserve"> to Prove Genocide </w:t>
      </w:r>
    </w:p>
    <w:p w14:paraId="28754B16" w14:textId="77777777" w:rsidR="001057CF" w:rsidRPr="006319C6" w:rsidRDefault="001057CF" w:rsidP="00A9165D">
      <w:pPr>
        <w:pStyle w:val="Paragraph"/>
        <w:spacing w:before="0" w:after="0" w:line="240" w:lineRule="auto"/>
        <w:ind w:firstLine="720"/>
        <w:rPr>
          <w:rFonts w:ascii="Bookman Old Style" w:hAnsi="Bookman Old Style"/>
          <w:sz w:val="28"/>
          <w:szCs w:val="28"/>
        </w:rPr>
      </w:pPr>
    </w:p>
    <w:p w14:paraId="08C32F9D" w14:textId="63888524" w:rsidR="00634ACA" w:rsidRPr="006319C6" w:rsidRDefault="00C80E96" w:rsidP="00A9165D">
      <w:pPr>
        <w:pStyle w:val="Paragraph"/>
        <w:spacing w:before="0" w:after="0" w:line="240" w:lineRule="auto"/>
        <w:ind w:firstLine="720"/>
        <w:rPr>
          <w:rFonts w:ascii="Bookman Old Style" w:hAnsi="Bookman Old Style"/>
          <w:sz w:val="28"/>
          <w:szCs w:val="28"/>
        </w:rPr>
      </w:pPr>
      <w:r w:rsidRPr="006319C6">
        <w:rPr>
          <w:rFonts w:ascii="Bookman Old Style" w:hAnsi="Bookman Old Style"/>
          <w:sz w:val="28"/>
          <w:szCs w:val="28"/>
        </w:rPr>
        <w:t>In February 2007 – less than one year after Milo</w:t>
      </w:r>
      <w:r w:rsidRPr="006319C6">
        <w:rPr>
          <w:rFonts w:ascii="Bookman Old Style" w:hAnsi="Bookman Old Style"/>
          <w:sz w:val="28"/>
          <w:szCs w:val="28"/>
          <w:lang w:val="hr-HR"/>
        </w:rPr>
        <w:t>š</w:t>
      </w:r>
      <w:r w:rsidR="001057CF" w:rsidRPr="006319C6">
        <w:rPr>
          <w:rFonts w:ascii="Bookman Old Style" w:hAnsi="Bookman Old Style"/>
          <w:sz w:val="28"/>
          <w:szCs w:val="28"/>
        </w:rPr>
        <w:t>ević’s death – t</w:t>
      </w:r>
      <w:r w:rsidRPr="006319C6">
        <w:rPr>
          <w:rFonts w:ascii="Bookman Old Style" w:hAnsi="Bookman Old Style"/>
          <w:sz w:val="28"/>
          <w:szCs w:val="28"/>
        </w:rPr>
        <w:t>he ICJ rendered its judgment</w:t>
      </w:r>
      <w:r w:rsidRPr="006319C6">
        <w:rPr>
          <w:rStyle w:val="FootnoteReference"/>
          <w:rFonts w:ascii="Bookman Old Style" w:hAnsi="Bookman Old Style"/>
          <w:sz w:val="28"/>
          <w:szCs w:val="28"/>
        </w:rPr>
        <w:footnoteReference w:id="66"/>
      </w:r>
      <w:r w:rsidRPr="006319C6">
        <w:rPr>
          <w:rFonts w:ascii="Bookman Old Style" w:hAnsi="Bookman Old Style"/>
          <w:sz w:val="28"/>
          <w:szCs w:val="28"/>
        </w:rPr>
        <w:t xml:space="preserve"> t</w:t>
      </w:r>
      <w:r w:rsidR="001057CF" w:rsidRPr="006319C6">
        <w:rPr>
          <w:rFonts w:ascii="Bookman Old Style" w:hAnsi="Bookman Old Style"/>
          <w:sz w:val="28"/>
          <w:szCs w:val="28"/>
        </w:rPr>
        <w:t>hat the crime of genocide in Bosnia and Herzogovina</w:t>
      </w:r>
      <w:r w:rsidRPr="006319C6">
        <w:rPr>
          <w:rFonts w:ascii="Bookman Old Style" w:hAnsi="Bookman Old Style"/>
          <w:sz w:val="28"/>
          <w:szCs w:val="28"/>
        </w:rPr>
        <w:t xml:space="preserve"> did occur, but only in 1995 and only in the Srebrenica area. It is important to note that the 2007 ICJ judgment had been rendered without the judges having </w:t>
      </w:r>
      <w:r w:rsidR="00347234" w:rsidRPr="006319C6">
        <w:rPr>
          <w:rFonts w:ascii="Bookman Old Style" w:hAnsi="Bookman Old Style"/>
          <w:sz w:val="28"/>
          <w:szCs w:val="28"/>
        </w:rPr>
        <w:t>allowed themselves</w:t>
      </w:r>
      <w:r w:rsidRPr="006319C6">
        <w:rPr>
          <w:rFonts w:ascii="Bookman Old Style" w:hAnsi="Bookman Old Style"/>
          <w:sz w:val="28"/>
          <w:szCs w:val="28"/>
        </w:rPr>
        <w:t xml:space="preserve"> to review the documents or the parts of documents protected by the ICTY from public view. Among these documents were the records of the S</w:t>
      </w:r>
      <w:r w:rsidR="00634ACA" w:rsidRPr="006319C6">
        <w:rPr>
          <w:rFonts w:ascii="Bookman Old Style" w:hAnsi="Bookman Old Style"/>
          <w:sz w:val="28"/>
          <w:szCs w:val="28"/>
        </w:rPr>
        <w:t>DC</w:t>
      </w:r>
      <w:r w:rsidRPr="006319C6">
        <w:rPr>
          <w:rFonts w:ascii="Bookman Old Style" w:hAnsi="Bookman Old Style"/>
          <w:sz w:val="28"/>
          <w:szCs w:val="28"/>
        </w:rPr>
        <w:t xml:space="preserve">, which were protected from public view by the ICTY at the request of Serbia. Milošević’s </w:t>
      </w:r>
      <w:r w:rsidRPr="006319C6">
        <w:rPr>
          <w:rFonts w:ascii="Bookman Old Style" w:hAnsi="Bookman Old Style"/>
          <w:i/>
          <w:sz w:val="28"/>
          <w:szCs w:val="28"/>
        </w:rPr>
        <w:t>de jure</w:t>
      </w:r>
      <w:r w:rsidRPr="006319C6">
        <w:rPr>
          <w:rFonts w:ascii="Bookman Old Style" w:hAnsi="Bookman Old Style"/>
          <w:sz w:val="28"/>
          <w:szCs w:val="28"/>
        </w:rPr>
        <w:t xml:space="preserve"> position during the</w:t>
      </w:r>
      <w:r w:rsidR="009B0C4B" w:rsidRPr="006319C6">
        <w:rPr>
          <w:rFonts w:ascii="Bookman Old Style" w:hAnsi="Bookman Old Style"/>
          <w:sz w:val="28"/>
          <w:szCs w:val="28"/>
        </w:rPr>
        <w:t xml:space="preserve"> war in Bosnia and Herzogovina</w:t>
      </w:r>
      <w:r w:rsidRPr="006319C6">
        <w:rPr>
          <w:rFonts w:ascii="Bookman Old Style" w:hAnsi="Bookman Old Style"/>
          <w:sz w:val="28"/>
          <w:szCs w:val="28"/>
        </w:rPr>
        <w:t xml:space="preserve"> was linked to his role on the </w:t>
      </w:r>
      <w:r w:rsidR="00634ACA" w:rsidRPr="006319C6">
        <w:rPr>
          <w:rFonts w:ascii="Bookman Old Style" w:hAnsi="Bookman Old Style"/>
          <w:sz w:val="28"/>
          <w:szCs w:val="28"/>
        </w:rPr>
        <w:t>SDC</w:t>
      </w:r>
      <w:r w:rsidRPr="006319C6">
        <w:rPr>
          <w:rFonts w:ascii="Bookman Old Style" w:hAnsi="Bookman Old Style"/>
          <w:sz w:val="28"/>
          <w:szCs w:val="28"/>
        </w:rPr>
        <w:t>. The SDC had been established as the joint Commander-in-Chief of the FRY armed forces by the 1992 FRY Constitution and the SDC’s first session was held in June 1992. It was formed of the Presidents of the FRY and the Republics of Serbia and Montenegro; as President of Serbia, Milošević was a memb</w:t>
      </w:r>
      <w:r w:rsidR="007F4791" w:rsidRPr="006319C6">
        <w:rPr>
          <w:rFonts w:ascii="Bookman Old Style" w:hAnsi="Bookman Old Style"/>
          <w:sz w:val="28"/>
          <w:szCs w:val="28"/>
        </w:rPr>
        <w:t>er of the SDC throughout the Bosnia and Herzogovina</w:t>
      </w:r>
      <w:r w:rsidRPr="006319C6">
        <w:rPr>
          <w:rFonts w:ascii="Bookman Old Style" w:hAnsi="Bookman Old Style"/>
          <w:sz w:val="28"/>
          <w:szCs w:val="28"/>
        </w:rPr>
        <w:t xml:space="preserve"> war years. The records of those high-level meetings featured Milošević as a speaker on policy issues </w:t>
      </w:r>
      <w:r w:rsidR="001D2980" w:rsidRPr="006319C6">
        <w:rPr>
          <w:rFonts w:ascii="Bookman Old Style" w:hAnsi="Bookman Old Style"/>
          <w:sz w:val="28"/>
          <w:szCs w:val="28"/>
        </w:rPr>
        <w:t xml:space="preserve">and </w:t>
      </w:r>
      <w:r w:rsidRPr="006319C6">
        <w:rPr>
          <w:rFonts w:ascii="Bookman Old Style" w:hAnsi="Bookman Old Style"/>
          <w:sz w:val="28"/>
          <w:szCs w:val="28"/>
        </w:rPr>
        <w:t xml:space="preserve">recorded </w:t>
      </w:r>
      <w:r w:rsidR="001D2980" w:rsidRPr="006319C6">
        <w:rPr>
          <w:rFonts w:ascii="Bookman Old Style" w:hAnsi="Bookman Old Style"/>
          <w:sz w:val="28"/>
          <w:szCs w:val="28"/>
        </w:rPr>
        <w:t xml:space="preserve">his precise </w:t>
      </w:r>
      <w:r w:rsidRPr="006319C6">
        <w:rPr>
          <w:rFonts w:ascii="Bookman Old Style" w:hAnsi="Bookman Old Style"/>
          <w:sz w:val="28"/>
          <w:szCs w:val="28"/>
        </w:rPr>
        <w:t>words that captured his state of mind before, during, and after the conflict in which the Serb forces comm</w:t>
      </w:r>
      <w:r w:rsidR="007F4791" w:rsidRPr="006319C6">
        <w:rPr>
          <w:rFonts w:ascii="Bookman Old Style" w:hAnsi="Bookman Old Style"/>
          <w:sz w:val="28"/>
          <w:szCs w:val="28"/>
        </w:rPr>
        <w:t>itted atrocities in Croatia, Bosnia and Herzogovina</w:t>
      </w:r>
      <w:r w:rsidRPr="006319C6">
        <w:rPr>
          <w:rFonts w:ascii="Bookman Old Style" w:hAnsi="Bookman Old Style"/>
          <w:sz w:val="28"/>
          <w:szCs w:val="28"/>
        </w:rPr>
        <w:t>, and Kosovo. These documents link Milo</w:t>
      </w:r>
      <w:r w:rsidRPr="006319C6">
        <w:rPr>
          <w:rFonts w:ascii="Bookman Old Style" w:hAnsi="Bookman Old Style"/>
          <w:sz w:val="28"/>
          <w:szCs w:val="28"/>
          <w:lang w:val="hr-HR"/>
        </w:rPr>
        <w:t xml:space="preserve">šević </w:t>
      </w:r>
      <w:r w:rsidR="00F676ED" w:rsidRPr="006319C6">
        <w:rPr>
          <w:rFonts w:ascii="Bookman Old Style" w:hAnsi="Bookman Old Style"/>
          <w:sz w:val="28"/>
          <w:szCs w:val="28"/>
          <w:lang w:val="hr-HR"/>
        </w:rPr>
        <w:t>– a</w:t>
      </w:r>
      <w:r w:rsidRPr="006319C6">
        <w:rPr>
          <w:rFonts w:ascii="Bookman Old Style" w:hAnsi="Bookman Old Style"/>
          <w:sz w:val="28"/>
          <w:szCs w:val="28"/>
          <w:lang w:val="hr-HR"/>
        </w:rPr>
        <w:t>nd other members of the SDC</w:t>
      </w:r>
      <w:r w:rsidR="00F676ED" w:rsidRPr="006319C6">
        <w:rPr>
          <w:rFonts w:ascii="Bookman Old Style" w:hAnsi="Bookman Old Style"/>
          <w:sz w:val="28"/>
          <w:szCs w:val="28"/>
        </w:rPr>
        <w:t xml:space="preserve"> – t</w:t>
      </w:r>
      <w:r w:rsidRPr="006319C6">
        <w:rPr>
          <w:rFonts w:ascii="Bookman Old Style" w:hAnsi="Bookman Old Style"/>
          <w:sz w:val="28"/>
          <w:szCs w:val="28"/>
        </w:rPr>
        <w:t>o the Bosnian and Croatian Serb leaderships d</w:t>
      </w:r>
      <w:r w:rsidR="001D2980" w:rsidRPr="006319C6">
        <w:rPr>
          <w:rFonts w:ascii="Bookman Old Style" w:hAnsi="Bookman Old Style"/>
          <w:sz w:val="28"/>
          <w:szCs w:val="28"/>
        </w:rPr>
        <w:t>u</w:t>
      </w:r>
      <w:r w:rsidRPr="006319C6">
        <w:rPr>
          <w:rFonts w:ascii="Bookman Old Style" w:hAnsi="Bookman Old Style"/>
          <w:sz w:val="28"/>
          <w:szCs w:val="28"/>
        </w:rPr>
        <w:t xml:space="preserve">ring the 1990s wars. They are useful evidence on </w:t>
      </w:r>
      <w:r w:rsidR="00EC39ED" w:rsidRPr="006319C6">
        <w:rPr>
          <w:rFonts w:ascii="Bookman Old Style" w:hAnsi="Bookman Old Style"/>
          <w:sz w:val="28"/>
          <w:szCs w:val="28"/>
          <w:lang w:val="en-GB"/>
        </w:rPr>
        <w:t xml:space="preserve">the </w:t>
      </w:r>
      <w:r w:rsidRPr="006319C6">
        <w:rPr>
          <w:rFonts w:ascii="Bookman Old Style" w:hAnsi="Bookman Old Style"/>
          <w:i/>
          <w:sz w:val="28"/>
          <w:szCs w:val="28"/>
          <w:lang w:val="en-GB"/>
        </w:rPr>
        <w:t>de facto</w:t>
      </w:r>
      <w:r w:rsidRPr="006319C6">
        <w:rPr>
          <w:rFonts w:ascii="Bookman Old Style" w:hAnsi="Bookman Old Style"/>
          <w:sz w:val="28"/>
          <w:szCs w:val="28"/>
          <w:lang w:val="en-GB"/>
        </w:rPr>
        <w:t xml:space="preserve"> and </w:t>
      </w:r>
      <w:r w:rsidRPr="006319C6">
        <w:rPr>
          <w:rFonts w:ascii="Bookman Old Style" w:hAnsi="Bookman Old Style"/>
          <w:i/>
          <w:sz w:val="28"/>
          <w:szCs w:val="28"/>
          <w:lang w:val="en-GB"/>
        </w:rPr>
        <w:t>de jure</w:t>
      </w:r>
      <w:r w:rsidRPr="006319C6">
        <w:rPr>
          <w:rFonts w:ascii="Bookman Old Style" w:hAnsi="Bookman Old Style"/>
          <w:sz w:val="28"/>
          <w:szCs w:val="28"/>
          <w:lang w:val="en-GB"/>
        </w:rPr>
        <w:t xml:space="preserve"> power of Slobodan </w:t>
      </w:r>
      <w:proofErr w:type="spellStart"/>
      <w:r w:rsidRPr="006319C6">
        <w:rPr>
          <w:rFonts w:ascii="Bookman Old Style" w:hAnsi="Bookman Old Style"/>
          <w:sz w:val="28"/>
          <w:szCs w:val="28"/>
          <w:lang w:val="en-GB"/>
        </w:rPr>
        <w:t>Milošević</w:t>
      </w:r>
      <w:proofErr w:type="spellEnd"/>
      <w:r w:rsidRPr="006319C6">
        <w:rPr>
          <w:rFonts w:ascii="Bookman Old Style" w:hAnsi="Bookman Old Style"/>
          <w:sz w:val="28"/>
          <w:szCs w:val="28"/>
          <w:lang w:val="en-GB"/>
        </w:rPr>
        <w:t xml:space="preserve"> and the power circles </w:t>
      </w:r>
      <w:r w:rsidRPr="006319C6">
        <w:rPr>
          <w:rFonts w:ascii="Bookman Old Style" w:hAnsi="Bookman Old Style"/>
          <w:sz w:val="28"/>
          <w:szCs w:val="28"/>
          <w:lang w:val="en-GB"/>
        </w:rPr>
        <w:lastRenderedPageBreak/>
        <w:t xml:space="preserve">around him, exposing the ways </w:t>
      </w:r>
      <w:r w:rsidR="001D2980" w:rsidRPr="006319C6">
        <w:rPr>
          <w:rFonts w:ascii="Bookman Old Style" w:hAnsi="Bookman Old Style"/>
          <w:sz w:val="28"/>
          <w:szCs w:val="28"/>
          <w:lang w:val="en-GB"/>
        </w:rPr>
        <w:t>in which</w:t>
      </w:r>
      <w:r w:rsidRPr="006319C6">
        <w:rPr>
          <w:rFonts w:ascii="Bookman Old Style" w:hAnsi="Bookman Old Style"/>
          <w:sz w:val="28"/>
          <w:szCs w:val="28"/>
          <w:lang w:val="en-GB"/>
        </w:rPr>
        <w:t xml:space="preserve"> they schemed and plotted together in order to establish and re-draw Serbia’s borders by force.</w:t>
      </w:r>
      <w:r w:rsidRPr="006319C6">
        <w:rPr>
          <w:rStyle w:val="FootnoteReference"/>
          <w:rFonts w:ascii="Bookman Old Style" w:hAnsi="Bookman Old Style"/>
          <w:sz w:val="28"/>
          <w:szCs w:val="28"/>
          <w:lang w:val="en-GB"/>
        </w:rPr>
        <w:footnoteReference w:id="67"/>
      </w:r>
      <w:r w:rsidRPr="006319C6">
        <w:rPr>
          <w:rFonts w:ascii="Bookman Old Style" w:hAnsi="Bookman Old Style"/>
          <w:sz w:val="28"/>
          <w:szCs w:val="28"/>
        </w:rPr>
        <w:t xml:space="preserve"> </w:t>
      </w:r>
    </w:p>
    <w:p w14:paraId="3A3C9373" w14:textId="77777777" w:rsidR="00F676ED" w:rsidRPr="006319C6" w:rsidRDefault="00F676ED" w:rsidP="00A9165D">
      <w:pPr>
        <w:pStyle w:val="Paragraph"/>
        <w:spacing w:before="0" w:after="0" w:line="240" w:lineRule="auto"/>
        <w:ind w:hanging="284"/>
        <w:rPr>
          <w:rFonts w:ascii="Bookman Old Style" w:hAnsi="Bookman Old Style"/>
          <w:sz w:val="28"/>
          <w:szCs w:val="28"/>
        </w:rPr>
      </w:pPr>
    </w:p>
    <w:p w14:paraId="5B1A48E6" w14:textId="40F16F81" w:rsidR="00EC39ED" w:rsidRPr="006319C6" w:rsidRDefault="00F676ED" w:rsidP="00A9165D">
      <w:pPr>
        <w:pStyle w:val="Paragraph"/>
        <w:spacing w:before="0" w:after="0" w:line="240" w:lineRule="auto"/>
        <w:ind w:hanging="284"/>
        <w:rPr>
          <w:rFonts w:ascii="Bookman Old Style" w:hAnsi="Bookman Old Style"/>
          <w:b/>
          <w:sz w:val="28"/>
          <w:szCs w:val="28"/>
        </w:rPr>
      </w:pPr>
      <w:r w:rsidRPr="006319C6">
        <w:rPr>
          <w:rFonts w:ascii="Bookman Old Style" w:hAnsi="Bookman Old Style"/>
          <w:sz w:val="28"/>
          <w:szCs w:val="28"/>
        </w:rPr>
        <w:tab/>
      </w:r>
      <w:r w:rsidR="00EC39ED" w:rsidRPr="006319C6">
        <w:rPr>
          <w:rFonts w:ascii="Bookman Old Style" w:hAnsi="Bookman Old Style"/>
          <w:b/>
          <w:sz w:val="28"/>
          <w:szCs w:val="28"/>
        </w:rPr>
        <w:t>Accidental Disclosure of Protected Evidence</w:t>
      </w:r>
    </w:p>
    <w:p w14:paraId="524631F4" w14:textId="77777777" w:rsidR="00F676ED" w:rsidRPr="006319C6" w:rsidRDefault="00F676ED" w:rsidP="00A9165D">
      <w:pPr>
        <w:pStyle w:val="Paragraph"/>
        <w:spacing w:before="0" w:after="0" w:line="240" w:lineRule="auto"/>
        <w:ind w:firstLine="720"/>
        <w:rPr>
          <w:rFonts w:ascii="Bookman Old Style" w:hAnsi="Bookman Old Style"/>
          <w:sz w:val="28"/>
          <w:szCs w:val="28"/>
        </w:rPr>
      </w:pPr>
    </w:p>
    <w:p w14:paraId="6A839D9D" w14:textId="78E1FB25" w:rsidR="00C80E96" w:rsidRPr="006319C6" w:rsidRDefault="00134292" w:rsidP="00A9165D">
      <w:pPr>
        <w:pStyle w:val="Paragraph"/>
        <w:spacing w:before="0" w:after="0" w:line="240" w:lineRule="auto"/>
        <w:ind w:firstLine="720"/>
        <w:rPr>
          <w:rFonts w:ascii="Bookman Old Style" w:hAnsi="Bookman Old Style"/>
          <w:sz w:val="28"/>
          <w:szCs w:val="28"/>
        </w:rPr>
      </w:pPr>
      <w:r w:rsidRPr="006319C6">
        <w:rPr>
          <w:rFonts w:ascii="Bookman Old Style" w:hAnsi="Bookman Old Style"/>
          <w:sz w:val="28"/>
          <w:szCs w:val="28"/>
        </w:rPr>
        <w:t xml:space="preserve">After </w:t>
      </w:r>
      <w:r w:rsidR="00F676ED" w:rsidRPr="006319C6">
        <w:rPr>
          <w:rFonts w:ascii="Bookman Old Style" w:hAnsi="Bookman Old Style"/>
          <w:sz w:val="28"/>
          <w:szCs w:val="28"/>
        </w:rPr>
        <w:t>t</w:t>
      </w:r>
      <w:r w:rsidR="0079478C" w:rsidRPr="006319C6">
        <w:rPr>
          <w:rFonts w:ascii="Bookman Old Style" w:hAnsi="Bookman Old Style"/>
          <w:sz w:val="28"/>
          <w:szCs w:val="28"/>
        </w:rPr>
        <w:t xml:space="preserve">he ICJ rendered </w:t>
      </w:r>
      <w:r w:rsidR="00C80E96" w:rsidRPr="006319C6">
        <w:rPr>
          <w:rFonts w:ascii="Bookman Old Style" w:hAnsi="Bookman Old Style"/>
          <w:sz w:val="28"/>
          <w:szCs w:val="28"/>
        </w:rPr>
        <w:t>judgment, confirming the earlier ICTY judgments</w:t>
      </w:r>
      <w:r w:rsidR="0079478C" w:rsidRPr="006319C6">
        <w:rPr>
          <w:rFonts w:ascii="Bookman Old Style" w:hAnsi="Bookman Old Style"/>
          <w:sz w:val="28"/>
          <w:szCs w:val="28"/>
        </w:rPr>
        <w:t>,</w:t>
      </w:r>
      <w:r w:rsidR="00C80E96" w:rsidRPr="006319C6">
        <w:rPr>
          <w:rStyle w:val="FootnoteReference"/>
          <w:rFonts w:ascii="Bookman Old Style" w:hAnsi="Bookman Old Style"/>
          <w:sz w:val="28"/>
          <w:szCs w:val="28"/>
        </w:rPr>
        <w:footnoteReference w:id="68"/>
      </w:r>
      <w:r w:rsidR="00C80E96" w:rsidRPr="006319C6">
        <w:rPr>
          <w:rFonts w:ascii="Bookman Old Style" w:hAnsi="Bookman Old Style"/>
          <w:sz w:val="28"/>
          <w:szCs w:val="28"/>
        </w:rPr>
        <w:t xml:space="preserve"> t</w:t>
      </w:r>
      <w:r w:rsidR="0079478C" w:rsidRPr="006319C6">
        <w:rPr>
          <w:rFonts w:ascii="Bookman Old Style" w:hAnsi="Bookman Old Style"/>
          <w:sz w:val="28"/>
          <w:szCs w:val="28"/>
        </w:rPr>
        <w:t>hat the crime of genocide in Bosnia and Herzogovina</w:t>
      </w:r>
      <w:r w:rsidR="00C80E96" w:rsidRPr="006319C6">
        <w:rPr>
          <w:rFonts w:ascii="Bookman Old Style" w:hAnsi="Bookman Old Style"/>
          <w:sz w:val="28"/>
          <w:szCs w:val="28"/>
        </w:rPr>
        <w:t xml:space="preserve"> did occur but only in 1995 and only in </w:t>
      </w:r>
      <w:r w:rsidRPr="006319C6">
        <w:rPr>
          <w:rFonts w:ascii="Bookman Old Style" w:hAnsi="Bookman Old Style"/>
          <w:sz w:val="28"/>
          <w:szCs w:val="28"/>
        </w:rPr>
        <w:t>the Srebrenica area,</w:t>
      </w:r>
      <w:r w:rsidR="00C80E96" w:rsidRPr="006319C6">
        <w:rPr>
          <w:rFonts w:ascii="Bookman Old Style" w:hAnsi="Bookman Old Style"/>
          <w:sz w:val="28"/>
          <w:szCs w:val="28"/>
        </w:rPr>
        <w:t xml:space="preserve"> </w:t>
      </w:r>
      <w:r w:rsidR="00C80E96" w:rsidRPr="006319C6">
        <w:rPr>
          <w:rFonts w:ascii="Bookman Old Style" w:hAnsi="Bookman Old Style"/>
          <w:sz w:val="28"/>
          <w:szCs w:val="28"/>
          <w:lang w:val="en-GB"/>
        </w:rPr>
        <w:t>Serbia seemed to have been able to accomplish its goals as stated by its officials on numerous occasio</w:t>
      </w:r>
      <w:r w:rsidR="00FF0286" w:rsidRPr="006319C6">
        <w:rPr>
          <w:rFonts w:ascii="Bookman Old Style" w:hAnsi="Bookman Old Style"/>
          <w:sz w:val="28"/>
          <w:szCs w:val="28"/>
          <w:lang w:val="en-GB"/>
        </w:rPr>
        <w:t>ns</w:t>
      </w:r>
      <w:r w:rsidR="00C80E96" w:rsidRPr="006319C6">
        <w:rPr>
          <w:rFonts w:ascii="Bookman Old Style" w:hAnsi="Bookman Old Style"/>
          <w:sz w:val="28"/>
          <w:szCs w:val="28"/>
          <w:lang w:val="en-GB"/>
        </w:rPr>
        <w:t>.</w:t>
      </w:r>
      <w:r w:rsidR="00C80E96" w:rsidRPr="006319C6">
        <w:rPr>
          <w:rStyle w:val="FootnoteReference"/>
          <w:rFonts w:ascii="Bookman Old Style" w:hAnsi="Bookman Old Style"/>
          <w:sz w:val="28"/>
          <w:szCs w:val="28"/>
          <w:lang w:val="en-GB"/>
        </w:rPr>
        <w:footnoteReference w:id="69"/>
      </w:r>
    </w:p>
    <w:p w14:paraId="1312F8E9" w14:textId="77777777" w:rsidR="009E1765" w:rsidRPr="006319C6" w:rsidRDefault="00C80E96"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p>
    <w:p w14:paraId="1124A58C" w14:textId="77777777" w:rsidR="009E1765" w:rsidRPr="006319C6" w:rsidRDefault="009E1765" w:rsidP="00A9165D">
      <w:pPr>
        <w:pStyle w:val="Paragraph"/>
        <w:spacing w:before="0" w:after="0" w:line="240" w:lineRule="auto"/>
        <w:rPr>
          <w:rFonts w:ascii="Bookman Old Style" w:hAnsi="Bookman Old Style"/>
          <w:sz w:val="28"/>
          <w:szCs w:val="28"/>
        </w:rPr>
      </w:pPr>
    </w:p>
    <w:p w14:paraId="5642757D" w14:textId="45EFA734" w:rsidR="00C80E96" w:rsidRPr="006319C6" w:rsidRDefault="009E1765"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r w:rsidR="00C80E96" w:rsidRPr="006319C6">
        <w:rPr>
          <w:rFonts w:ascii="Bookman Old Style" w:hAnsi="Bookman Old Style"/>
          <w:sz w:val="28"/>
          <w:szCs w:val="28"/>
        </w:rPr>
        <w:t xml:space="preserve">But an </w:t>
      </w:r>
      <w:r w:rsidR="00FF0286" w:rsidRPr="006319C6">
        <w:rPr>
          <w:rFonts w:ascii="Bookman Old Style" w:hAnsi="Bookman Old Style"/>
          <w:sz w:val="28"/>
          <w:szCs w:val="28"/>
        </w:rPr>
        <w:t>un</w:t>
      </w:r>
      <w:r w:rsidR="00C80E96" w:rsidRPr="006319C6">
        <w:rPr>
          <w:rFonts w:ascii="Bookman Old Style" w:hAnsi="Bookman Old Style"/>
          <w:sz w:val="28"/>
          <w:szCs w:val="28"/>
        </w:rPr>
        <w:t xml:space="preserve">expected development followed, as some protection of the selected portions of those documents was lifted informally and without court approval when Momir Bulatović published a book, </w:t>
      </w:r>
      <w:r w:rsidR="00C80E96" w:rsidRPr="006319C6">
        <w:rPr>
          <w:rFonts w:ascii="Bookman Old Style" w:hAnsi="Bookman Old Style"/>
          <w:i/>
          <w:iCs/>
          <w:sz w:val="28"/>
          <w:szCs w:val="28"/>
        </w:rPr>
        <w:t>Unspoken Defence</w:t>
      </w:r>
      <w:r w:rsidR="00C80E96" w:rsidRPr="006319C6">
        <w:rPr>
          <w:rFonts w:ascii="Bookman Old Style" w:hAnsi="Bookman Old Style"/>
          <w:sz w:val="28"/>
          <w:szCs w:val="28"/>
        </w:rPr>
        <w:t>, in which he quoted from protected portions of a number of SDC transcripts.</w:t>
      </w:r>
      <w:r w:rsidR="00C80E96" w:rsidRPr="006319C6">
        <w:rPr>
          <w:rStyle w:val="FootnoteReference"/>
          <w:rFonts w:ascii="Bookman Old Style" w:hAnsi="Bookman Old Style"/>
          <w:sz w:val="28"/>
          <w:szCs w:val="28"/>
        </w:rPr>
        <w:footnoteReference w:id="70"/>
      </w:r>
      <w:r w:rsidR="00C80E96" w:rsidRPr="006319C6">
        <w:rPr>
          <w:rFonts w:ascii="Bookman Old Style" w:hAnsi="Bookman Old Style"/>
          <w:sz w:val="28"/>
          <w:szCs w:val="28"/>
        </w:rPr>
        <w:t xml:space="preserve"> However, the ICTY made no efforts to challenge or amend the original decisions on protection or to sanction Bulatović. Bulatović’s bo</w:t>
      </w:r>
      <w:r w:rsidR="00FF0286" w:rsidRPr="006319C6">
        <w:rPr>
          <w:rFonts w:ascii="Bookman Old Style" w:hAnsi="Bookman Old Style"/>
          <w:sz w:val="28"/>
          <w:szCs w:val="28"/>
        </w:rPr>
        <w:t xml:space="preserve">ok would have been </w:t>
      </w:r>
      <w:r w:rsidR="00C80E96" w:rsidRPr="006319C6">
        <w:rPr>
          <w:rFonts w:ascii="Bookman Old Style" w:hAnsi="Bookman Old Style"/>
          <w:sz w:val="28"/>
          <w:szCs w:val="28"/>
        </w:rPr>
        <w:t>ignored by the public if it were not for an article published by International War and Peace Reporting (IWPR) in November 2007. The author of the article wondered how it was possible that neither the team who presented the Bosnian genocide case before the ICJ nor the ICTY Prosecution team had used Bulatović’s  publication of some of the protected parts to initiate legal proceedings to lift the protections.</w:t>
      </w:r>
      <w:r w:rsidR="00C80E96" w:rsidRPr="006319C6">
        <w:rPr>
          <w:rStyle w:val="FootnoteReference"/>
          <w:rFonts w:ascii="Bookman Old Style" w:hAnsi="Bookman Old Style"/>
          <w:sz w:val="28"/>
          <w:szCs w:val="28"/>
        </w:rPr>
        <w:footnoteReference w:id="71"/>
      </w:r>
      <w:r w:rsidR="00C80E96" w:rsidRPr="006319C6">
        <w:rPr>
          <w:rFonts w:ascii="Bookman Old Style" w:hAnsi="Bookman Old Style"/>
          <w:sz w:val="28"/>
          <w:szCs w:val="28"/>
        </w:rPr>
        <w:t xml:space="preserve"> The November 2007 IWPR publication might have been used as a trigger for the Bosnian legal team to start the process of a revision of the ICJ judgment rendered in February 2007 and for which an application for </w:t>
      </w:r>
      <w:r w:rsidR="00806E59" w:rsidRPr="006319C6">
        <w:rPr>
          <w:rFonts w:ascii="Bookman Old Style" w:hAnsi="Bookman Old Style"/>
          <w:sz w:val="28"/>
          <w:szCs w:val="28"/>
        </w:rPr>
        <w:t>“</w:t>
      </w:r>
      <w:r w:rsidR="00C80E96" w:rsidRPr="006319C6">
        <w:rPr>
          <w:rFonts w:ascii="Bookman Old Style" w:hAnsi="Bookman Old Style"/>
          <w:sz w:val="28"/>
          <w:szCs w:val="28"/>
        </w:rPr>
        <w:t>revision</w:t>
      </w:r>
      <w:r w:rsidR="00806E59" w:rsidRPr="006319C6">
        <w:rPr>
          <w:rFonts w:ascii="Bookman Old Style" w:hAnsi="Bookman Old Style"/>
          <w:sz w:val="28"/>
          <w:szCs w:val="28"/>
        </w:rPr>
        <w:t>”</w:t>
      </w:r>
      <w:r w:rsidR="00C80E96" w:rsidRPr="006319C6">
        <w:rPr>
          <w:rFonts w:ascii="Bookman Old Style" w:hAnsi="Bookman Old Style"/>
          <w:sz w:val="28"/>
          <w:szCs w:val="28"/>
        </w:rPr>
        <w:t xml:space="preserve"> could, under the ICJ statute, be made in the following decade until February 2017, </w:t>
      </w:r>
      <w:r w:rsidR="00C80E96" w:rsidRPr="006319C6">
        <w:rPr>
          <w:rFonts w:ascii="Bookman Old Style" w:hAnsi="Bookman Old Style"/>
          <w:sz w:val="28"/>
          <w:szCs w:val="28"/>
        </w:rPr>
        <w:lastRenderedPageBreak/>
        <w:t>not beyond; but it did not happen. It also did not happen in 2011, four years later</w:t>
      </w:r>
      <w:r w:rsidR="00296761" w:rsidRPr="006319C6">
        <w:rPr>
          <w:rFonts w:ascii="Bookman Old Style" w:hAnsi="Bookman Old Style"/>
          <w:sz w:val="28"/>
          <w:szCs w:val="28"/>
        </w:rPr>
        <w:t>,</w:t>
      </w:r>
      <w:r w:rsidR="00C80E96" w:rsidRPr="006319C6">
        <w:rPr>
          <w:rFonts w:ascii="Bookman Old Style" w:hAnsi="Bookman Old Style"/>
          <w:sz w:val="28"/>
          <w:szCs w:val="28"/>
        </w:rPr>
        <w:t xml:space="preserve"> when the ICTY made available to the public the majority of the protected portions of the SDC documents, which were released from their protection</w:t>
      </w:r>
      <w:r w:rsidR="00C80E96" w:rsidRPr="006319C6">
        <w:rPr>
          <w:rStyle w:val="FootnoteReference"/>
          <w:rFonts w:ascii="Bookman Old Style" w:hAnsi="Bookman Old Style"/>
          <w:color w:val="000000"/>
          <w:sz w:val="28"/>
          <w:szCs w:val="28"/>
        </w:rPr>
        <w:footnoteReference w:id="72"/>
      </w:r>
      <w:r w:rsidR="00C80E96" w:rsidRPr="006319C6">
        <w:rPr>
          <w:rFonts w:ascii="Bookman Old Style" w:hAnsi="Bookman Old Style"/>
          <w:sz w:val="28"/>
          <w:szCs w:val="28"/>
        </w:rPr>
        <w:t xml:space="preserve"> in the trial of General Momčilo Perišić, the Chief of Staff of the VJ from 1993 to 1998.</w:t>
      </w:r>
      <w:r w:rsidR="00C80E96" w:rsidRPr="006319C6">
        <w:rPr>
          <w:rStyle w:val="FootnoteReference"/>
          <w:rFonts w:ascii="Bookman Old Style" w:hAnsi="Bookman Old Style"/>
          <w:color w:val="000000"/>
          <w:sz w:val="28"/>
          <w:szCs w:val="28"/>
        </w:rPr>
        <w:t xml:space="preserve"> </w:t>
      </w:r>
      <w:r w:rsidR="00C80E96" w:rsidRPr="006319C6">
        <w:rPr>
          <w:rStyle w:val="FootnoteReference"/>
          <w:rFonts w:ascii="Bookman Old Style" w:hAnsi="Bookman Old Style"/>
          <w:color w:val="000000"/>
          <w:sz w:val="28"/>
          <w:szCs w:val="28"/>
        </w:rPr>
        <w:footnoteReference w:id="73"/>
      </w:r>
      <w:r w:rsidR="00C80E96" w:rsidRPr="006319C6">
        <w:rPr>
          <w:rFonts w:ascii="Bookman Old Style" w:hAnsi="Bookman Old Style"/>
          <w:sz w:val="28"/>
          <w:szCs w:val="28"/>
        </w:rPr>
        <w:t xml:space="preserve"> But, after much publicity, the Appeals Chamber in the Peri</w:t>
      </w:r>
      <w:r w:rsidR="00C80E96" w:rsidRPr="006319C6">
        <w:rPr>
          <w:rFonts w:ascii="Bookman Old Style" w:hAnsi="Bookman Old Style"/>
          <w:sz w:val="28"/>
          <w:szCs w:val="28"/>
          <w:lang w:val="hr-HR"/>
        </w:rPr>
        <w:t>š</w:t>
      </w:r>
      <w:r w:rsidR="00C80E96" w:rsidRPr="006319C6">
        <w:rPr>
          <w:rFonts w:ascii="Bookman Old Style" w:hAnsi="Bookman Old Style"/>
          <w:sz w:val="28"/>
          <w:szCs w:val="28"/>
        </w:rPr>
        <w:t>ić case did not apparently find these documents pers</w:t>
      </w:r>
      <w:r w:rsidR="00296761" w:rsidRPr="006319C6">
        <w:rPr>
          <w:rFonts w:ascii="Bookman Old Style" w:hAnsi="Bookman Old Style"/>
          <w:sz w:val="28"/>
          <w:szCs w:val="28"/>
        </w:rPr>
        <w:t>ua</w:t>
      </w:r>
      <w:r w:rsidR="00C80E96" w:rsidRPr="006319C6">
        <w:rPr>
          <w:rFonts w:ascii="Bookman Old Style" w:hAnsi="Bookman Old Style"/>
          <w:sz w:val="28"/>
          <w:szCs w:val="28"/>
        </w:rPr>
        <w:t xml:space="preserve">sive enough as he was acquitted. </w:t>
      </w:r>
    </w:p>
    <w:p w14:paraId="4EA21400" w14:textId="3ECD3014" w:rsidR="00C80E96" w:rsidRPr="006319C6" w:rsidRDefault="00C80E96"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t xml:space="preserve">As it is now </w:t>
      </w:r>
      <w:r w:rsidR="005D7B22" w:rsidRPr="006319C6">
        <w:rPr>
          <w:rFonts w:ascii="Bookman Old Style" w:hAnsi="Bookman Old Style"/>
          <w:sz w:val="28"/>
          <w:szCs w:val="28"/>
        </w:rPr>
        <w:t>– w</w:t>
      </w:r>
      <w:r w:rsidRPr="006319C6">
        <w:rPr>
          <w:rFonts w:ascii="Bookman Old Style" w:hAnsi="Bookman Old Style"/>
          <w:sz w:val="28"/>
          <w:szCs w:val="28"/>
        </w:rPr>
        <w:t>ith Perišić not tried for genocide at all and acquitted, Milošević dead</w:t>
      </w:r>
      <w:r w:rsidR="005D7B22" w:rsidRPr="006319C6">
        <w:rPr>
          <w:rFonts w:ascii="Bookman Old Style" w:hAnsi="Bookman Old Style"/>
          <w:sz w:val="28"/>
          <w:szCs w:val="28"/>
        </w:rPr>
        <w:t>,</w:t>
      </w:r>
      <w:r w:rsidRPr="006319C6">
        <w:rPr>
          <w:rFonts w:ascii="Bookman Old Style" w:hAnsi="Bookman Old Style"/>
          <w:sz w:val="28"/>
          <w:szCs w:val="28"/>
        </w:rPr>
        <w:t xml:space="preserve"> and other SDC membe</w:t>
      </w:r>
      <w:r w:rsidR="005D7B22" w:rsidRPr="006319C6">
        <w:rPr>
          <w:rFonts w:ascii="Bookman Old Style" w:hAnsi="Bookman Old Style"/>
          <w:sz w:val="28"/>
          <w:szCs w:val="28"/>
        </w:rPr>
        <w:t>rs never indicted – t</w:t>
      </w:r>
      <w:r w:rsidRPr="006319C6">
        <w:rPr>
          <w:rFonts w:ascii="Bookman Old Style" w:hAnsi="Bookman Old Style"/>
          <w:sz w:val="28"/>
          <w:szCs w:val="28"/>
        </w:rPr>
        <w:t>he historical record leaves the FRY and Serbia free to say they were nothing but observers of the tragedies ta</w:t>
      </w:r>
      <w:r w:rsidR="005D7B22" w:rsidRPr="006319C6">
        <w:rPr>
          <w:rFonts w:ascii="Bookman Old Style" w:hAnsi="Bookman Old Style"/>
          <w:sz w:val="28"/>
          <w:szCs w:val="28"/>
        </w:rPr>
        <w:t>king place in the neighboring S</w:t>
      </w:r>
      <w:r w:rsidRPr="006319C6">
        <w:rPr>
          <w:rFonts w:ascii="Bookman Old Style" w:hAnsi="Bookman Old Style"/>
          <w:sz w:val="28"/>
          <w:szCs w:val="28"/>
        </w:rPr>
        <w:t>ta</w:t>
      </w:r>
      <w:r w:rsidR="005D7B22" w:rsidRPr="006319C6">
        <w:rPr>
          <w:rFonts w:ascii="Bookman Old Style" w:hAnsi="Bookman Old Style"/>
          <w:sz w:val="28"/>
          <w:szCs w:val="28"/>
        </w:rPr>
        <w:t>tes of Bosnia and Herzogovina</w:t>
      </w:r>
      <w:r w:rsidRPr="006319C6">
        <w:rPr>
          <w:rFonts w:ascii="Bookman Old Style" w:hAnsi="Bookman Old Style"/>
          <w:sz w:val="28"/>
          <w:szCs w:val="28"/>
        </w:rPr>
        <w:t xml:space="preserve"> and</w:t>
      </w:r>
      <w:r w:rsidR="001908A7" w:rsidRPr="006319C6">
        <w:rPr>
          <w:rFonts w:ascii="Bookman Old Style" w:hAnsi="Bookman Old Style"/>
          <w:sz w:val="28"/>
          <w:szCs w:val="28"/>
        </w:rPr>
        <w:t xml:space="preserve"> of</w:t>
      </w:r>
      <w:r w:rsidRPr="006319C6">
        <w:rPr>
          <w:rFonts w:ascii="Bookman Old Style" w:hAnsi="Bookman Old Style"/>
          <w:sz w:val="28"/>
          <w:szCs w:val="28"/>
        </w:rPr>
        <w:t xml:space="preserve"> Croatia. </w:t>
      </w:r>
      <w:r w:rsidR="001908A7" w:rsidRPr="006319C6">
        <w:rPr>
          <w:rFonts w:ascii="Bookman Old Style" w:hAnsi="Bookman Old Style"/>
          <w:sz w:val="28"/>
          <w:szCs w:val="28"/>
        </w:rPr>
        <w:t>M</w:t>
      </w:r>
      <w:r w:rsidR="00642843" w:rsidRPr="006319C6">
        <w:rPr>
          <w:rFonts w:ascii="Bookman Old Style" w:hAnsi="Bookman Old Style"/>
          <w:sz w:val="28"/>
          <w:szCs w:val="28"/>
        </w:rPr>
        <w:t xml:space="preserve">any would argue that this is a travesty of the truth. </w:t>
      </w:r>
      <w:r w:rsidR="001908A7" w:rsidRPr="006319C6">
        <w:rPr>
          <w:rFonts w:ascii="Bookman Old Style" w:hAnsi="Bookman Old Style"/>
          <w:sz w:val="28"/>
          <w:szCs w:val="28"/>
        </w:rPr>
        <w:t>Moreover, by deadline in February 2017 Bosnia and Herzogovina</w:t>
      </w:r>
      <w:r w:rsidRPr="006319C6">
        <w:rPr>
          <w:rFonts w:ascii="Bookman Old Style" w:hAnsi="Bookman Old Style"/>
          <w:sz w:val="28"/>
          <w:szCs w:val="28"/>
        </w:rPr>
        <w:t xml:space="preserve"> failed to file a revision at the ICTY.</w:t>
      </w:r>
      <w:r w:rsidRPr="006319C6">
        <w:rPr>
          <w:rStyle w:val="FootnoteReference"/>
          <w:rFonts w:ascii="Bookman Old Style" w:hAnsi="Bookman Old Style"/>
          <w:sz w:val="28"/>
          <w:szCs w:val="28"/>
        </w:rPr>
        <w:footnoteReference w:id="74"/>
      </w:r>
      <w:r w:rsidR="001908A7" w:rsidRPr="006319C6">
        <w:rPr>
          <w:rFonts w:ascii="Bookman Old Style" w:hAnsi="Bookman Old Style"/>
          <w:sz w:val="28"/>
          <w:szCs w:val="28"/>
        </w:rPr>
        <w:t xml:space="preserve"> With the ten years period of limitation</w:t>
      </w:r>
      <w:r w:rsidRPr="006319C6">
        <w:rPr>
          <w:rFonts w:ascii="Bookman Old Style" w:hAnsi="Bookman Old Style"/>
          <w:sz w:val="28"/>
          <w:szCs w:val="28"/>
        </w:rPr>
        <w:t xml:space="preserve"> expired</w:t>
      </w:r>
      <w:r w:rsidR="001908A7" w:rsidRPr="006319C6">
        <w:rPr>
          <w:rFonts w:ascii="Bookman Old Style" w:hAnsi="Bookman Old Style"/>
          <w:sz w:val="28"/>
          <w:szCs w:val="28"/>
        </w:rPr>
        <w:t>,</w:t>
      </w:r>
      <w:r w:rsidRPr="006319C6">
        <w:rPr>
          <w:rFonts w:ascii="Bookman Old Style" w:hAnsi="Bookman Old Style"/>
          <w:sz w:val="28"/>
          <w:szCs w:val="28"/>
        </w:rPr>
        <w:t xml:space="preserve"> there will be no legal remedy even </w:t>
      </w:r>
      <w:r w:rsidR="00642843" w:rsidRPr="006319C6">
        <w:rPr>
          <w:rFonts w:ascii="Bookman Old Style" w:hAnsi="Bookman Old Style"/>
          <w:sz w:val="28"/>
          <w:szCs w:val="28"/>
        </w:rPr>
        <w:t>if and when</w:t>
      </w:r>
      <w:r w:rsidRPr="006319C6">
        <w:rPr>
          <w:rFonts w:ascii="Bookman Old Style" w:hAnsi="Bookman Old Style"/>
          <w:sz w:val="28"/>
          <w:szCs w:val="28"/>
        </w:rPr>
        <w:t xml:space="preserve"> the most compelling evidence become</w:t>
      </w:r>
      <w:r w:rsidR="00642843" w:rsidRPr="006319C6">
        <w:rPr>
          <w:rFonts w:ascii="Bookman Old Style" w:hAnsi="Bookman Old Style"/>
          <w:sz w:val="28"/>
          <w:szCs w:val="28"/>
        </w:rPr>
        <w:t>s</w:t>
      </w:r>
      <w:r w:rsidRPr="006319C6">
        <w:rPr>
          <w:rFonts w:ascii="Bookman Old Style" w:hAnsi="Bookman Old Style"/>
          <w:sz w:val="28"/>
          <w:szCs w:val="28"/>
        </w:rPr>
        <w:t xml:space="preserve"> accessible to </w:t>
      </w:r>
      <w:r w:rsidR="00296761" w:rsidRPr="006319C6">
        <w:rPr>
          <w:rFonts w:ascii="Bookman Old Style" w:hAnsi="Bookman Old Style"/>
          <w:sz w:val="28"/>
          <w:szCs w:val="28"/>
        </w:rPr>
        <w:t xml:space="preserve">the </w:t>
      </w:r>
      <w:r w:rsidRPr="006319C6">
        <w:rPr>
          <w:rFonts w:ascii="Bookman Old Style" w:hAnsi="Bookman Old Style"/>
          <w:sz w:val="28"/>
          <w:szCs w:val="28"/>
        </w:rPr>
        <w:t>public.</w:t>
      </w:r>
    </w:p>
    <w:p w14:paraId="15EE4A56" w14:textId="77777777" w:rsidR="009E1765" w:rsidRPr="006319C6" w:rsidRDefault="00C80E96" w:rsidP="00D84AE6">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t>For historical narrat</w:t>
      </w:r>
      <w:r w:rsidR="00D84AE6" w:rsidRPr="006319C6">
        <w:rPr>
          <w:rFonts w:ascii="Bookman Old Style" w:hAnsi="Bookman Old Style"/>
          <w:sz w:val="28"/>
          <w:szCs w:val="28"/>
        </w:rPr>
        <w:t xml:space="preserve">ive, </w:t>
      </w:r>
      <w:r w:rsidRPr="006319C6">
        <w:rPr>
          <w:rFonts w:ascii="Bookman Old Style" w:hAnsi="Bookman Old Style"/>
          <w:sz w:val="28"/>
          <w:szCs w:val="28"/>
        </w:rPr>
        <w:t>the 2013 Perišić Judgement and the 2007 ICJ judgment devalued the legal importance of the SDC records. None of the legal procedures dealing with the SDC records sufficiently stressed to</w:t>
      </w:r>
      <w:r w:rsidR="00D84AE6" w:rsidRPr="006319C6">
        <w:rPr>
          <w:rFonts w:ascii="Bookman Old Style" w:hAnsi="Bookman Old Style"/>
          <w:sz w:val="28"/>
          <w:szCs w:val="28"/>
        </w:rPr>
        <w:t xml:space="preserve"> the outside audience that </w:t>
      </w:r>
      <w:r w:rsidRPr="006319C6">
        <w:rPr>
          <w:rFonts w:ascii="Bookman Old Style" w:hAnsi="Bookman Old Style"/>
          <w:sz w:val="28"/>
          <w:szCs w:val="28"/>
        </w:rPr>
        <w:t xml:space="preserve">those redacted pages </w:t>
      </w:r>
      <w:r w:rsidR="00642843" w:rsidRPr="006319C6">
        <w:rPr>
          <w:rFonts w:ascii="Bookman Old Style" w:hAnsi="Bookman Old Style"/>
          <w:sz w:val="28"/>
          <w:szCs w:val="28"/>
        </w:rPr>
        <w:t>finally</w:t>
      </w:r>
      <w:r w:rsidRPr="006319C6">
        <w:rPr>
          <w:rFonts w:ascii="Bookman Old Style" w:hAnsi="Bookman Old Style"/>
          <w:sz w:val="28"/>
          <w:szCs w:val="28"/>
        </w:rPr>
        <w:t xml:space="preserve"> available did not tell the full story. The majority of the SDC records for 1995</w:t>
      </w:r>
      <w:r w:rsidR="00D84AE6" w:rsidRPr="006319C6">
        <w:rPr>
          <w:rFonts w:ascii="Bookman Old Style" w:hAnsi="Bookman Old Style"/>
          <w:sz w:val="28"/>
          <w:szCs w:val="28"/>
        </w:rPr>
        <w:t xml:space="preserve"> – t</w:t>
      </w:r>
      <w:r w:rsidRPr="006319C6">
        <w:rPr>
          <w:rFonts w:ascii="Bookman Old Style" w:hAnsi="Bookman Old Style"/>
          <w:sz w:val="28"/>
          <w:szCs w:val="28"/>
        </w:rPr>
        <w:t xml:space="preserve">he year that Srebrenica genocide took place – have never been handed over and are still missing. Once </w:t>
      </w:r>
    </w:p>
    <w:p w14:paraId="1E856D93" w14:textId="77777777" w:rsidR="009E1765" w:rsidRPr="006319C6" w:rsidRDefault="009E1765" w:rsidP="00D84AE6">
      <w:pPr>
        <w:pStyle w:val="Paragraph"/>
        <w:spacing w:before="0" w:after="0" w:line="240" w:lineRule="auto"/>
        <w:rPr>
          <w:rFonts w:ascii="Bookman Old Style" w:hAnsi="Bookman Old Style"/>
          <w:sz w:val="28"/>
          <w:szCs w:val="28"/>
        </w:rPr>
      </w:pPr>
    </w:p>
    <w:p w14:paraId="7FC953BA" w14:textId="77777777" w:rsidR="009E1765" w:rsidRPr="006319C6" w:rsidRDefault="009E1765" w:rsidP="00D84AE6">
      <w:pPr>
        <w:pStyle w:val="Paragraph"/>
        <w:spacing w:before="0" w:after="0" w:line="240" w:lineRule="auto"/>
        <w:rPr>
          <w:rFonts w:ascii="Bookman Old Style" w:hAnsi="Bookman Old Style"/>
          <w:sz w:val="28"/>
          <w:szCs w:val="28"/>
        </w:rPr>
      </w:pPr>
    </w:p>
    <w:p w14:paraId="699DF0AB" w14:textId="77777777" w:rsidR="009E1765" w:rsidRPr="006319C6" w:rsidRDefault="009E1765" w:rsidP="00D84AE6">
      <w:pPr>
        <w:pStyle w:val="Paragraph"/>
        <w:spacing w:before="0" w:after="0" w:line="240" w:lineRule="auto"/>
        <w:rPr>
          <w:rFonts w:ascii="Bookman Old Style" w:hAnsi="Bookman Old Style"/>
          <w:sz w:val="28"/>
          <w:szCs w:val="28"/>
        </w:rPr>
      </w:pPr>
    </w:p>
    <w:p w14:paraId="6B26B1C0" w14:textId="77777777" w:rsidR="009E1765" w:rsidRPr="006319C6" w:rsidRDefault="009E1765" w:rsidP="00D84AE6">
      <w:pPr>
        <w:pStyle w:val="Paragraph"/>
        <w:spacing w:before="0" w:after="0" w:line="240" w:lineRule="auto"/>
        <w:rPr>
          <w:rFonts w:ascii="Bookman Old Style" w:hAnsi="Bookman Old Style"/>
          <w:sz w:val="28"/>
          <w:szCs w:val="28"/>
        </w:rPr>
      </w:pPr>
    </w:p>
    <w:p w14:paraId="6EC9EF36" w14:textId="71A693EA" w:rsidR="00D84AE6" w:rsidRPr="006319C6" w:rsidRDefault="00C80E96" w:rsidP="00D84AE6">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 xml:space="preserve">they </w:t>
      </w:r>
      <w:r w:rsidR="00EC39ED" w:rsidRPr="006319C6">
        <w:rPr>
          <w:rFonts w:ascii="Bookman Old Style" w:hAnsi="Bookman Old Style"/>
          <w:sz w:val="28"/>
          <w:szCs w:val="28"/>
        </w:rPr>
        <w:t xml:space="preserve">appear by chance or by deliberate search </w:t>
      </w:r>
      <w:r w:rsidR="00D84AE6" w:rsidRPr="006319C6">
        <w:rPr>
          <w:rFonts w:ascii="Bookman Old Style" w:hAnsi="Bookman Old Style"/>
          <w:sz w:val="28"/>
          <w:szCs w:val="28"/>
        </w:rPr>
        <w:t xml:space="preserve">in the future, historians </w:t>
      </w:r>
      <w:r w:rsidRPr="006319C6">
        <w:rPr>
          <w:rFonts w:ascii="Bookman Old Style" w:hAnsi="Bookman Old Style"/>
          <w:sz w:val="28"/>
          <w:szCs w:val="28"/>
        </w:rPr>
        <w:t xml:space="preserve">might have the last word </w:t>
      </w:r>
      <w:r w:rsidR="00EC39ED" w:rsidRPr="006319C6">
        <w:rPr>
          <w:rFonts w:ascii="Bookman Old Style" w:hAnsi="Bookman Old Style"/>
          <w:sz w:val="28"/>
          <w:szCs w:val="28"/>
        </w:rPr>
        <w:t>in reconstructing</w:t>
      </w:r>
      <w:r w:rsidRPr="006319C6">
        <w:rPr>
          <w:rFonts w:ascii="Bookman Old Style" w:hAnsi="Bookman Old Style"/>
          <w:sz w:val="28"/>
          <w:szCs w:val="28"/>
        </w:rPr>
        <w:t xml:space="preserve"> of sequence of the events and decisions that had led to genocide. </w:t>
      </w:r>
      <w:r w:rsidRPr="006319C6">
        <w:rPr>
          <w:rFonts w:ascii="Bookman Old Style" w:hAnsi="Bookman Old Style"/>
          <w:sz w:val="28"/>
          <w:szCs w:val="28"/>
        </w:rPr>
        <w:lastRenderedPageBreak/>
        <w:t>This is</w:t>
      </w:r>
      <w:r w:rsidR="00D84AE6" w:rsidRPr="006319C6">
        <w:rPr>
          <w:rFonts w:ascii="Bookman Old Style" w:hAnsi="Bookman Old Style"/>
          <w:sz w:val="28"/>
          <w:szCs w:val="28"/>
        </w:rPr>
        <w:t xml:space="preserve"> where historians may take </w:t>
      </w:r>
      <w:r w:rsidRPr="006319C6">
        <w:rPr>
          <w:rFonts w:ascii="Bookman Old Style" w:hAnsi="Bookman Old Style"/>
          <w:sz w:val="28"/>
          <w:szCs w:val="28"/>
        </w:rPr>
        <w:t>the lead and continue filling the gaps and answer</w:t>
      </w:r>
      <w:r w:rsidR="00BE2CAA" w:rsidRPr="006319C6">
        <w:rPr>
          <w:rFonts w:ascii="Bookman Old Style" w:hAnsi="Bookman Old Style"/>
          <w:sz w:val="28"/>
          <w:szCs w:val="28"/>
        </w:rPr>
        <w:t>ing</w:t>
      </w:r>
      <w:r w:rsidR="00D84AE6" w:rsidRPr="006319C6">
        <w:rPr>
          <w:rFonts w:ascii="Bookman Old Style" w:hAnsi="Bookman Old Style"/>
          <w:sz w:val="28"/>
          <w:szCs w:val="28"/>
        </w:rPr>
        <w:t xml:space="preserve"> the </w:t>
      </w:r>
      <w:r w:rsidRPr="006319C6">
        <w:rPr>
          <w:rFonts w:ascii="Bookman Old Style" w:hAnsi="Bookman Old Style"/>
          <w:sz w:val="28"/>
          <w:szCs w:val="28"/>
        </w:rPr>
        <w:t>open questions about the indiv</w:t>
      </w:r>
      <w:r w:rsidR="00D84AE6" w:rsidRPr="006319C6">
        <w:rPr>
          <w:rFonts w:ascii="Bookman Old Style" w:hAnsi="Bookman Old Style"/>
          <w:sz w:val="28"/>
          <w:szCs w:val="28"/>
        </w:rPr>
        <w:t>i</w:t>
      </w:r>
      <w:r w:rsidRPr="006319C6">
        <w:rPr>
          <w:rFonts w:ascii="Bookman Old Style" w:hAnsi="Bookman Old Style"/>
          <w:sz w:val="28"/>
          <w:szCs w:val="28"/>
        </w:rPr>
        <w:t>dual responsibility of the Serb politicians and military</w:t>
      </w:r>
      <w:r w:rsidR="00D84AE6" w:rsidRPr="006319C6">
        <w:rPr>
          <w:rFonts w:ascii="Bookman Old Style" w:hAnsi="Bookman Old Style"/>
          <w:sz w:val="28"/>
          <w:szCs w:val="28"/>
        </w:rPr>
        <w:t>,</w:t>
      </w:r>
      <w:r w:rsidRPr="006319C6">
        <w:rPr>
          <w:rFonts w:ascii="Bookman Old Style" w:hAnsi="Bookman Old Style"/>
          <w:sz w:val="28"/>
          <w:szCs w:val="28"/>
        </w:rPr>
        <w:t xml:space="preserve"> as well as </w:t>
      </w:r>
      <w:r w:rsidR="00BE2CAA" w:rsidRPr="006319C6">
        <w:rPr>
          <w:rFonts w:ascii="Bookman Old Style" w:hAnsi="Bookman Old Style"/>
          <w:sz w:val="28"/>
          <w:szCs w:val="28"/>
        </w:rPr>
        <w:t xml:space="preserve">of </w:t>
      </w:r>
      <w:r w:rsidR="00D84AE6" w:rsidRPr="006319C6">
        <w:rPr>
          <w:rFonts w:ascii="Bookman Old Style" w:hAnsi="Bookman Old Style"/>
          <w:sz w:val="28"/>
          <w:szCs w:val="28"/>
        </w:rPr>
        <w:t>Serbia as the S</w:t>
      </w:r>
      <w:r w:rsidRPr="006319C6">
        <w:rPr>
          <w:rFonts w:ascii="Bookman Old Style" w:hAnsi="Bookman Old Style"/>
          <w:sz w:val="28"/>
          <w:szCs w:val="28"/>
        </w:rPr>
        <w:t>tate</w:t>
      </w:r>
      <w:r w:rsidR="00D84AE6" w:rsidRPr="006319C6">
        <w:rPr>
          <w:rFonts w:ascii="Bookman Old Style" w:hAnsi="Bookman Old Style"/>
          <w:sz w:val="28"/>
          <w:szCs w:val="28"/>
        </w:rPr>
        <w:t>,</w:t>
      </w:r>
      <w:r w:rsidRPr="006319C6">
        <w:rPr>
          <w:rFonts w:ascii="Bookman Old Style" w:hAnsi="Bookman Old Style"/>
          <w:sz w:val="28"/>
          <w:szCs w:val="28"/>
        </w:rPr>
        <w:t xml:space="preserve"> for the crime</w:t>
      </w:r>
      <w:r w:rsidR="00BE2CAA" w:rsidRPr="006319C6">
        <w:rPr>
          <w:rFonts w:ascii="Bookman Old Style" w:hAnsi="Bookman Old Style"/>
          <w:sz w:val="28"/>
          <w:szCs w:val="28"/>
        </w:rPr>
        <w:t>s</w:t>
      </w:r>
      <w:r w:rsidR="00D84AE6" w:rsidRPr="006319C6">
        <w:rPr>
          <w:rFonts w:ascii="Bookman Old Style" w:hAnsi="Bookman Old Style"/>
          <w:sz w:val="28"/>
          <w:szCs w:val="28"/>
        </w:rPr>
        <w:t xml:space="preserve"> of genocide that occured in Bosnia and Herzogovina</w:t>
      </w:r>
      <w:r w:rsidRPr="006319C6">
        <w:rPr>
          <w:rFonts w:ascii="Bookman Old Style" w:hAnsi="Bookman Old Style"/>
          <w:sz w:val="28"/>
          <w:szCs w:val="28"/>
        </w:rPr>
        <w:t xml:space="preserve"> from 1992 to 1995. </w:t>
      </w:r>
    </w:p>
    <w:p w14:paraId="765C0ABD" w14:textId="77777777" w:rsidR="00D84AE6" w:rsidRPr="006319C6" w:rsidRDefault="00D84AE6" w:rsidP="00D84AE6">
      <w:pPr>
        <w:pStyle w:val="Paragraph"/>
        <w:spacing w:before="0" w:after="0" w:line="240" w:lineRule="auto"/>
        <w:rPr>
          <w:rFonts w:ascii="Bookman Old Style" w:hAnsi="Bookman Old Style"/>
          <w:sz w:val="28"/>
          <w:szCs w:val="28"/>
        </w:rPr>
      </w:pPr>
    </w:p>
    <w:p w14:paraId="44455873" w14:textId="77777777" w:rsidR="00773970" w:rsidRPr="006319C6" w:rsidRDefault="009E1765" w:rsidP="00D84AE6">
      <w:pPr>
        <w:pStyle w:val="Paragraph"/>
        <w:spacing w:before="0" w:after="0" w:line="240" w:lineRule="auto"/>
        <w:jc w:val="center"/>
        <w:rPr>
          <w:rFonts w:ascii="Bookman Old Style" w:hAnsi="Bookman Old Style"/>
          <w:sz w:val="28"/>
          <w:szCs w:val="28"/>
        </w:rPr>
      </w:pPr>
      <w:r w:rsidRPr="006319C6">
        <w:rPr>
          <w:rFonts w:ascii="Bookman Old Style" w:hAnsi="Bookman Old Style"/>
          <w:sz w:val="28"/>
          <w:szCs w:val="28"/>
        </w:rPr>
        <w:t xml:space="preserve">AN UNFINISHED MASS ATROCITIES TRIAL AND ITS </w:t>
      </w:r>
    </w:p>
    <w:p w14:paraId="748844C4" w14:textId="335F0659" w:rsidR="00C80E96" w:rsidRPr="006319C6" w:rsidRDefault="009E1765" w:rsidP="00D84AE6">
      <w:pPr>
        <w:pStyle w:val="Paragraph"/>
        <w:spacing w:before="0" w:after="0" w:line="240" w:lineRule="auto"/>
        <w:jc w:val="center"/>
        <w:rPr>
          <w:rFonts w:ascii="Bookman Old Style" w:hAnsi="Bookman Old Style"/>
          <w:sz w:val="28"/>
          <w:szCs w:val="28"/>
        </w:rPr>
      </w:pPr>
      <w:r w:rsidRPr="006319C6">
        <w:rPr>
          <w:rFonts w:ascii="Bookman Old Style" w:hAnsi="Bookman Old Style"/>
          <w:sz w:val="28"/>
          <w:szCs w:val="28"/>
        </w:rPr>
        <w:t>EXTRALEGAL VALUE</w:t>
      </w:r>
    </w:p>
    <w:p w14:paraId="580ABF46" w14:textId="77777777" w:rsidR="00D84AE6" w:rsidRPr="006319C6" w:rsidRDefault="00D84AE6" w:rsidP="00A9165D">
      <w:pPr>
        <w:pStyle w:val="Paragraph"/>
        <w:spacing w:before="0" w:after="0" w:line="240" w:lineRule="auto"/>
        <w:ind w:firstLine="720"/>
        <w:rPr>
          <w:rFonts w:ascii="Bookman Old Style" w:hAnsi="Bookman Old Style"/>
          <w:sz w:val="28"/>
          <w:szCs w:val="28"/>
        </w:rPr>
      </w:pPr>
    </w:p>
    <w:p w14:paraId="1B27AD12" w14:textId="2B23CB8B" w:rsidR="005770FD" w:rsidRPr="006319C6" w:rsidRDefault="008B20D7" w:rsidP="00A9165D">
      <w:pPr>
        <w:pStyle w:val="Paragraph"/>
        <w:spacing w:before="0" w:after="0" w:line="240" w:lineRule="auto"/>
        <w:ind w:firstLine="720"/>
        <w:rPr>
          <w:rFonts w:ascii="Bookman Old Style" w:hAnsi="Bookman Old Style"/>
          <w:sz w:val="28"/>
          <w:szCs w:val="28"/>
        </w:rPr>
      </w:pPr>
      <w:r w:rsidRPr="006319C6">
        <w:rPr>
          <w:rFonts w:ascii="Bookman Old Style" w:hAnsi="Bookman Old Style"/>
          <w:sz w:val="28"/>
          <w:szCs w:val="28"/>
        </w:rPr>
        <w:t>All ICTY trial archives</w:t>
      </w:r>
      <w:r w:rsidRPr="006319C6">
        <w:rPr>
          <w:rFonts w:ascii="Bookman Old Style" w:hAnsi="Bookman Old Style"/>
          <w:sz w:val="28"/>
          <w:szCs w:val="28"/>
          <w:lang w:val="en-GB" w:eastAsia="it-IT"/>
        </w:rPr>
        <w:t xml:space="preserve"> represen</w:t>
      </w:r>
      <w:r w:rsidR="00687CB8" w:rsidRPr="006319C6">
        <w:rPr>
          <w:rFonts w:ascii="Bookman Old Style" w:hAnsi="Bookman Old Style"/>
          <w:sz w:val="28"/>
          <w:szCs w:val="28"/>
          <w:lang w:val="en-GB" w:eastAsia="it-IT"/>
        </w:rPr>
        <w:t>t valuable historical sources because</w:t>
      </w:r>
      <w:r w:rsidRPr="006319C6">
        <w:rPr>
          <w:rFonts w:ascii="Bookman Old Style" w:hAnsi="Bookman Old Style"/>
          <w:sz w:val="28"/>
          <w:szCs w:val="28"/>
          <w:lang w:val="en-GB" w:eastAsia="it-IT"/>
        </w:rPr>
        <w:t xml:space="preserve"> they contain</w:t>
      </w:r>
      <w:r w:rsidR="00687CB8" w:rsidRPr="006319C6">
        <w:rPr>
          <w:rFonts w:ascii="Bookman Old Style" w:hAnsi="Bookman Old Style"/>
          <w:sz w:val="28"/>
          <w:szCs w:val="28"/>
          <w:lang w:val="en-GB" w:eastAsia="it-IT"/>
        </w:rPr>
        <w:t xml:space="preserve"> an</w:t>
      </w:r>
      <w:r w:rsidRPr="006319C6">
        <w:rPr>
          <w:rFonts w:ascii="Bookman Old Style" w:hAnsi="Bookman Old Style"/>
          <w:sz w:val="28"/>
          <w:szCs w:val="28"/>
          <w:lang w:val="en-GB" w:eastAsia="it-IT"/>
        </w:rPr>
        <w:t xml:space="preserve"> immense, unique </w:t>
      </w:r>
      <w:r w:rsidR="005B4AE8" w:rsidRPr="006319C6">
        <w:rPr>
          <w:rFonts w:ascii="Bookman Old Style" w:hAnsi="Bookman Old Style"/>
          <w:sz w:val="28"/>
          <w:szCs w:val="28"/>
          <w:lang w:val="en-GB" w:eastAsia="it-IT"/>
        </w:rPr>
        <w:t xml:space="preserve">collection </w:t>
      </w:r>
      <w:r w:rsidRPr="006319C6">
        <w:rPr>
          <w:rFonts w:ascii="Bookman Old Style" w:hAnsi="Bookman Old Style"/>
          <w:sz w:val="28"/>
          <w:szCs w:val="28"/>
          <w:lang w:val="en-GB" w:eastAsia="it-IT"/>
        </w:rPr>
        <w:t xml:space="preserve">of documentary evidence, testimonies, and legal documents. </w:t>
      </w:r>
      <w:r w:rsidRPr="006319C6">
        <w:rPr>
          <w:rFonts w:ascii="Bookman Old Style" w:hAnsi="Bookman Old Style"/>
          <w:sz w:val="28"/>
          <w:szCs w:val="28"/>
        </w:rPr>
        <w:t>M</w:t>
      </w:r>
      <w:proofErr w:type="spellStart"/>
      <w:r w:rsidRPr="006319C6">
        <w:rPr>
          <w:rFonts w:ascii="Bookman Old Style" w:hAnsi="Bookman Old Style"/>
          <w:sz w:val="28"/>
          <w:szCs w:val="28"/>
          <w:lang w:val="en-GB" w:eastAsia="it-IT"/>
        </w:rPr>
        <w:t>ateria</w:t>
      </w:r>
      <w:r w:rsidR="00687CB8" w:rsidRPr="006319C6">
        <w:rPr>
          <w:rFonts w:ascii="Bookman Old Style" w:hAnsi="Bookman Old Style"/>
          <w:sz w:val="28"/>
          <w:szCs w:val="28"/>
          <w:lang w:val="en-GB" w:eastAsia="it-IT"/>
        </w:rPr>
        <w:t>ls</w:t>
      </w:r>
      <w:proofErr w:type="spellEnd"/>
      <w:r w:rsidR="00687CB8" w:rsidRPr="006319C6">
        <w:rPr>
          <w:rFonts w:ascii="Bookman Old Style" w:hAnsi="Bookman Old Style"/>
          <w:sz w:val="28"/>
          <w:szCs w:val="28"/>
          <w:lang w:val="en-GB" w:eastAsia="it-IT"/>
        </w:rPr>
        <w:t xml:space="preserve"> selected as evidence by the prosecution and d</w:t>
      </w:r>
      <w:r w:rsidRPr="006319C6">
        <w:rPr>
          <w:rFonts w:ascii="Bookman Old Style" w:hAnsi="Bookman Old Style"/>
          <w:sz w:val="28"/>
          <w:szCs w:val="28"/>
          <w:lang w:val="en-GB" w:eastAsia="it-IT"/>
        </w:rPr>
        <w:t>efence incorporate documents from Yugoslav, Serbian, Kosovo</w:t>
      </w:r>
      <w:r w:rsidR="00687CB8" w:rsidRPr="006319C6">
        <w:rPr>
          <w:rFonts w:ascii="Bookman Old Style" w:hAnsi="Bookman Old Style"/>
          <w:sz w:val="28"/>
          <w:szCs w:val="28"/>
          <w:lang w:val="en-GB" w:eastAsia="it-IT"/>
        </w:rPr>
        <w:t>, and Bosnian S</w:t>
      </w:r>
      <w:r w:rsidRPr="006319C6">
        <w:rPr>
          <w:rFonts w:ascii="Bookman Old Style" w:hAnsi="Bookman Old Style"/>
          <w:sz w:val="28"/>
          <w:szCs w:val="28"/>
          <w:lang w:val="en-GB" w:eastAsia="it-IT"/>
        </w:rPr>
        <w:t>tate archives that would have otherwise been unavailable to the public and to</w:t>
      </w:r>
      <w:r w:rsidR="00687CB8" w:rsidRPr="006319C6">
        <w:rPr>
          <w:rFonts w:ascii="Bookman Old Style" w:hAnsi="Bookman Old Style"/>
          <w:sz w:val="28"/>
          <w:szCs w:val="28"/>
          <w:lang w:val="en-GB" w:eastAsia="it-IT"/>
        </w:rPr>
        <w:t xml:space="preserve"> researchers for many decades.</w:t>
      </w:r>
    </w:p>
    <w:p w14:paraId="35B9275B" w14:textId="7F326C5F" w:rsidR="005770FD" w:rsidRPr="006319C6" w:rsidRDefault="008B20D7" w:rsidP="00CC1447">
      <w:pPr>
        <w:shd w:val="clear" w:color="auto" w:fill="FFFFFF" w:themeFill="background1"/>
        <w:ind w:firstLine="720"/>
        <w:jc w:val="both"/>
        <w:rPr>
          <w:rFonts w:ascii="Bookman Old Style" w:hAnsi="Bookman Old Style" w:cs="Times New Roman"/>
          <w:sz w:val="28"/>
          <w:szCs w:val="28"/>
          <w:lang w:val="en-GB"/>
        </w:rPr>
      </w:pPr>
      <w:r w:rsidRPr="006319C6">
        <w:rPr>
          <w:rFonts w:ascii="Bookman Old Style" w:hAnsi="Bookman Old Style" w:cs="Times New Roman"/>
          <w:sz w:val="28"/>
          <w:szCs w:val="28"/>
          <w:lang w:val="en-GB" w:eastAsia="it-IT"/>
        </w:rPr>
        <w:t>The Milo</w:t>
      </w:r>
      <w:r w:rsidRPr="006319C6">
        <w:rPr>
          <w:rFonts w:ascii="Bookman Old Style" w:hAnsi="Bookman Old Style" w:cs="Times New Roman"/>
          <w:sz w:val="28"/>
          <w:szCs w:val="28"/>
          <w:lang w:val="hr-HR" w:eastAsia="it-IT"/>
        </w:rPr>
        <w:t>š</w:t>
      </w:r>
      <w:proofErr w:type="spellStart"/>
      <w:r w:rsidRPr="006319C6">
        <w:rPr>
          <w:rFonts w:ascii="Bookman Old Style" w:hAnsi="Bookman Old Style" w:cs="Times New Roman"/>
          <w:sz w:val="28"/>
          <w:szCs w:val="28"/>
          <w:lang w:val="en-GB" w:eastAsia="it-IT"/>
        </w:rPr>
        <w:t>ev</w:t>
      </w:r>
      <w:r w:rsidR="00E07326" w:rsidRPr="006319C6">
        <w:rPr>
          <w:rFonts w:ascii="Bookman Old Style" w:hAnsi="Bookman Old Style" w:cs="Times New Roman"/>
          <w:sz w:val="28"/>
          <w:szCs w:val="28"/>
          <w:lang w:val="en-GB" w:eastAsia="it-IT"/>
        </w:rPr>
        <w:t>ić</w:t>
      </w:r>
      <w:proofErr w:type="spellEnd"/>
      <w:r w:rsidR="00E07326" w:rsidRPr="006319C6">
        <w:rPr>
          <w:rFonts w:ascii="Bookman Old Style" w:hAnsi="Bookman Old Style" w:cs="Times New Roman"/>
          <w:sz w:val="28"/>
          <w:szCs w:val="28"/>
          <w:lang w:val="en-GB" w:eastAsia="it-IT"/>
        </w:rPr>
        <w:t xml:space="preserve"> trial – although unfinished – s</w:t>
      </w:r>
      <w:r w:rsidRPr="006319C6">
        <w:rPr>
          <w:rFonts w:ascii="Bookman Old Style" w:hAnsi="Bookman Old Style" w:cs="Times New Roman"/>
          <w:sz w:val="28"/>
          <w:szCs w:val="28"/>
          <w:lang w:val="en-GB" w:eastAsia="it-IT"/>
        </w:rPr>
        <w:t xml:space="preserve">erves as a valuable historical source for </w:t>
      </w:r>
      <w:r w:rsidR="00EC39ED" w:rsidRPr="006319C6">
        <w:rPr>
          <w:rFonts w:ascii="Bookman Old Style" w:hAnsi="Bookman Old Style" w:cs="Times New Roman"/>
          <w:sz w:val="28"/>
          <w:szCs w:val="28"/>
          <w:lang w:val="en-GB" w:eastAsia="it-IT"/>
        </w:rPr>
        <w:t xml:space="preserve">at least two </w:t>
      </w:r>
      <w:r w:rsidRPr="006319C6">
        <w:rPr>
          <w:rFonts w:ascii="Bookman Old Style" w:hAnsi="Bookman Old Style" w:cs="Times New Roman"/>
          <w:sz w:val="28"/>
          <w:szCs w:val="28"/>
          <w:lang w:val="en-GB" w:eastAsia="it-IT"/>
        </w:rPr>
        <w:t xml:space="preserve">reasons. First, </w:t>
      </w:r>
      <w:proofErr w:type="spellStart"/>
      <w:r w:rsidRPr="006319C6">
        <w:rPr>
          <w:rFonts w:ascii="Bookman Old Style" w:hAnsi="Bookman Old Style" w:cs="Times New Roman"/>
          <w:sz w:val="28"/>
          <w:szCs w:val="28"/>
        </w:rPr>
        <w:t>Milošević</w:t>
      </w:r>
      <w:proofErr w:type="spellEnd"/>
      <w:r w:rsidRPr="006319C6">
        <w:rPr>
          <w:rFonts w:ascii="Bookman Old Style" w:hAnsi="Bookman Old Style" w:cs="Times New Roman"/>
          <w:sz w:val="28"/>
          <w:szCs w:val="28"/>
        </w:rPr>
        <w:t xml:space="preserve"> represented himself in court, and therefore responded personally to the evidence presented, but also made personal remarks throughout the trial from the standpoint of a man attempting to defend his p</w:t>
      </w:r>
      <w:r w:rsidR="00E07326" w:rsidRPr="006319C6">
        <w:rPr>
          <w:rFonts w:ascii="Bookman Old Style" w:hAnsi="Bookman Old Style" w:cs="Times New Roman"/>
          <w:sz w:val="28"/>
          <w:szCs w:val="28"/>
        </w:rPr>
        <w:t>olitical and private decisions.</w:t>
      </w:r>
      <w:r w:rsidRPr="006319C6">
        <w:rPr>
          <w:rFonts w:ascii="Bookman Old Style" w:hAnsi="Bookman Old Style" w:cs="Times New Roman"/>
          <w:sz w:val="28"/>
          <w:szCs w:val="28"/>
        </w:rPr>
        <w:t xml:space="preserve"> Second, </w:t>
      </w:r>
      <w:r w:rsidRPr="006319C6">
        <w:rPr>
          <w:rFonts w:ascii="Bookman Old Style" w:hAnsi="Bookman Old Style" w:cs="Times New Roman"/>
          <w:sz w:val="28"/>
          <w:szCs w:val="28"/>
          <w:lang w:val="en-GB"/>
        </w:rPr>
        <w:t>evidence that d</w:t>
      </w:r>
      <w:r w:rsidR="00E07326" w:rsidRPr="006319C6">
        <w:rPr>
          <w:rFonts w:ascii="Bookman Old Style" w:hAnsi="Bookman Old Style" w:cs="Times New Roman"/>
          <w:sz w:val="28"/>
          <w:szCs w:val="28"/>
          <w:lang w:val="en-GB"/>
        </w:rPr>
        <w:t>id come directly from S</w:t>
      </w:r>
      <w:r w:rsidRPr="006319C6">
        <w:rPr>
          <w:rFonts w:ascii="Bookman Old Style" w:hAnsi="Bookman Old Style" w:cs="Times New Roman"/>
          <w:sz w:val="28"/>
          <w:szCs w:val="28"/>
          <w:lang w:val="en-GB"/>
        </w:rPr>
        <w:t xml:space="preserve">tate archives in Serbia makes the </w:t>
      </w:r>
      <w:proofErr w:type="spellStart"/>
      <w:r w:rsidRPr="006319C6">
        <w:rPr>
          <w:rFonts w:ascii="Bookman Old Style" w:hAnsi="Bookman Old Style" w:cs="Times New Roman"/>
          <w:sz w:val="28"/>
          <w:szCs w:val="28"/>
          <w:lang w:val="en-GB"/>
        </w:rPr>
        <w:t>Milošević</w:t>
      </w:r>
      <w:proofErr w:type="spellEnd"/>
      <w:r w:rsidRPr="006319C6">
        <w:rPr>
          <w:rFonts w:ascii="Bookman Old Style" w:hAnsi="Bookman Old Style" w:cs="Times New Roman"/>
          <w:sz w:val="28"/>
          <w:szCs w:val="28"/>
          <w:lang w:val="en-GB"/>
        </w:rPr>
        <w:t xml:space="preserve"> trial record particu</w:t>
      </w:r>
      <w:r w:rsidR="00E07326" w:rsidRPr="006319C6">
        <w:rPr>
          <w:rFonts w:ascii="Bookman Old Style" w:hAnsi="Bookman Old Style" w:cs="Times New Roman"/>
          <w:sz w:val="28"/>
          <w:szCs w:val="28"/>
          <w:lang w:val="en-GB"/>
        </w:rPr>
        <w:t>larly valuable, as it includes S</w:t>
      </w:r>
      <w:r w:rsidRPr="006319C6">
        <w:rPr>
          <w:rFonts w:ascii="Bookman Old Style" w:hAnsi="Bookman Old Style" w:cs="Times New Roman"/>
          <w:sz w:val="28"/>
          <w:szCs w:val="28"/>
          <w:lang w:val="en-GB"/>
        </w:rPr>
        <w:t xml:space="preserve">tate documents that would otherwise have remained protected for decades or even longer. </w:t>
      </w:r>
    </w:p>
    <w:p w14:paraId="36102F98" w14:textId="4F55AE94" w:rsidR="005770FD" w:rsidRPr="006319C6" w:rsidRDefault="00C80E96" w:rsidP="00A9165D">
      <w:pPr>
        <w:shd w:val="clear" w:color="auto" w:fill="FFFFFF" w:themeFill="background1"/>
        <w:ind w:firstLine="720"/>
        <w:jc w:val="both"/>
        <w:rPr>
          <w:rFonts w:ascii="Bookman Old Style" w:hAnsi="Bookman Old Style" w:cs="Times New Roman"/>
          <w:sz w:val="28"/>
          <w:szCs w:val="28"/>
          <w:lang w:val="en-GB"/>
        </w:rPr>
      </w:pPr>
      <w:r w:rsidRPr="006319C6">
        <w:rPr>
          <w:rFonts w:ascii="Bookman Old Style" w:hAnsi="Bookman Old Style" w:cs="Times New Roman"/>
          <w:sz w:val="28"/>
          <w:szCs w:val="28"/>
          <w:lang w:val="en-GB"/>
        </w:rPr>
        <w:t xml:space="preserve">The </w:t>
      </w:r>
      <w:proofErr w:type="spellStart"/>
      <w:r w:rsidRPr="006319C6">
        <w:rPr>
          <w:rFonts w:ascii="Bookman Old Style" w:hAnsi="Bookman Old Style" w:cs="Times New Roman"/>
          <w:sz w:val="28"/>
          <w:szCs w:val="28"/>
          <w:lang w:val="en-GB"/>
        </w:rPr>
        <w:t>Milošević</w:t>
      </w:r>
      <w:proofErr w:type="spellEnd"/>
      <w:r w:rsidRPr="006319C6">
        <w:rPr>
          <w:rFonts w:ascii="Bookman Old Style" w:hAnsi="Bookman Old Style" w:cs="Times New Roman"/>
          <w:sz w:val="28"/>
          <w:szCs w:val="28"/>
          <w:lang w:val="en-GB"/>
        </w:rPr>
        <w:t xml:space="preserve"> trial archive comprises transcripts, material tendered as evidence, motions on administrative and procedural matters, and decisions and </w:t>
      </w:r>
      <w:r w:rsidR="00E07326" w:rsidRPr="006319C6">
        <w:rPr>
          <w:rFonts w:ascii="Bookman Old Style" w:hAnsi="Bookman Old Style" w:cs="Times New Roman"/>
          <w:sz w:val="28"/>
          <w:szCs w:val="28"/>
          <w:lang w:val="en-GB"/>
        </w:rPr>
        <w:t>judg</w:t>
      </w:r>
      <w:r w:rsidRPr="006319C6">
        <w:rPr>
          <w:rFonts w:ascii="Bookman Old Style" w:hAnsi="Bookman Old Style" w:cs="Times New Roman"/>
          <w:sz w:val="28"/>
          <w:szCs w:val="28"/>
          <w:lang w:val="en-GB"/>
        </w:rPr>
        <w:t>ments of the Trial Chamber and Appeals Chamber. The archive is so large that it</w:t>
      </w:r>
      <w:r w:rsidR="00E07326" w:rsidRPr="006319C6">
        <w:rPr>
          <w:rFonts w:ascii="Bookman Old Style" w:hAnsi="Bookman Old Style" w:cs="Times New Roman"/>
          <w:sz w:val="28"/>
          <w:szCs w:val="28"/>
          <w:lang w:val="en-GB"/>
        </w:rPr>
        <w:t xml:space="preserve"> is too substantial to be </w:t>
      </w:r>
      <w:proofErr w:type="spellStart"/>
      <w:r w:rsidR="00E07326" w:rsidRPr="006319C6">
        <w:rPr>
          <w:rFonts w:ascii="Bookman Old Style" w:hAnsi="Bookman Old Style" w:cs="Times New Roman"/>
          <w:sz w:val="28"/>
          <w:szCs w:val="28"/>
          <w:lang w:val="en-GB"/>
        </w:rPr>
        <w:t>analyzed</w:t>
      </w:r>
      <w:proofErr w:type="spellEnd"/>
      <w:r w:rsidR="00E07326" w:rsidRPr="006319C6">
        <w:rPr>
          <w:rFonts w:ascii="Bookman Old Style" w:hAnsi="Bookman Old Style" w:cs="Times New Roman"/>
          <w:sz w:val="28"/>
          <w:szCs w:val="28"/>
          <w:lang w:val="en-GB"/>
        </w:rPr>
        <w:t xml:space="preserve"> in a single </w:t>
      </w:r>
      <w:r w:rsidR="003D3E80" w:rsidRPr="006319C6">
        <w:rPr>
          <w:rFonts w:ascii="Bookman Old Style" w:hAnsi="Bookman Old Style" w:cs="Times New Roman"/>
          <w:sz w:val="28"/>
          <w:szCs w:val="28"/>
          <w:lang w:val="en-GB"/>
        </w:rPr>
        <w:t>study. Nonetheless</w:t>
      </w:r>
      <w:r w:rsidRPr="006319C6">
        <w:rPr>
          <w:rFonts w:ascii="Bookman Old Style" w:hAnsi="Bookman Old Style" w:cs="Times New Roman"/>
          <w:sz w:val="28"/>
          <w:szCs w:val="28"/>
          <w:lang w:val="en-GB"/>
        </w:rPr>
        <w:t xml:space="preserve">, missing source materials </w:t>
      </w:r>
      <w:r w:rsidR="00BE2CAA" w:rsidRPr="006319C6">
        <w:rPr>
          <w:rFonts w:ascii="Bookman Old Style" w:hAnsi="Bookman Old Style" w:cs="Times New Roman"/>
          <w:sz w:val="28"/>
          <w:szCs w:val="28"/>
          <w:lang w:val="en-GB"/>
        </w:rPr>
        <w:t>– such as</w:t>
      </w:r>
      <w:r w:rsidR="003D3E80" w:rsidRPr="006319C6">
        <w:rPr>
          <w:rFonts w:ascii="Bookman Old Style" w:hAnsi="Bookman Old Style" w:cs="Times New Roman"/>
          <w:sz w:val="28"/>
          <w:szCs w:val="28"/>
          <w:lang w:val="en-GB"/>
        </w:rPr>
        <w:t xml:space="preserve"> the critical 1995 SDC records – t</w:t>
      </w:r>
      <w:r w:rsidRPr="006319C6">
        <w:rPr>
          <w:rFonts w:ascii="Bookman Old Style" w:hAnsi="Bookman Old Style" w:cs="Times New Roman"/>
          <w:sz w:val="28"/>
          <w:szCs w:val="28"/>
          <w:lang w:val="en-GB"/>
        </w:rPr>
        <w:t xml:space="preserve">hat were requested but never produced represent a gap; meaning that the trial record, while vast, is not </w:t>
      </w:r>
      <w:r w:rsidR="00BE2CAA" w:rsidRPr="006319C6">
        <w:rPr>
          <w:rFonts w:ascii="Bookman Old Style" w:hAnsi="Bookman Old Style" w:cs="Times New Roman"/>
          <w:sz w:val="28"/>
          <w:szCs w:val="28"/>
          <w:lang w:val="en-GB"/>
        </w:rPr>
        <w:t xml:space="preserve">comprehensive or </w:t>
      </w:r>
      <w:r w:rsidR="003D3E80" w:rsidRPr="006319C6">
        <w:rPr>
          <w:rFonts w:ascii="Bookman Old Style" w:hAnsi="Bookman Old Style" w:cs="Times New Roman"/>
          <w:sz w:val="28"/>
          <w:szCs w:val="28"/>
          <w:lang w:val="en-GB"/>
        </w:rPr>
        <w:t>exhaustive. D</w:t>
      </w:r>
      <w:r w:rsidRPr="006319C6">
        <w:rPr>
          <w:rFonts w:ascii="Bookman Old Style" w:hAnsi="Bookman Old Style" w:cs="Times New Roman"/>
          <w:sz w:val="28"/>
          <w:szCs w:val="28"/>
          <w:lang w:val="en-GB"/>
        </w:rPr>
        <w:t>espite its size, a trial record alone might be insufficient for the task of</w:t>
      </w:r>
      <w:r w:rsidR="003D3E80" w:rsidRPr="006319C6">
        <w:rPr>
          <w:rFonts w:ascii="Bookman Old Style" w:hAnsi="Bookman Old Style" w:cs="Times New Roman"/>
          <w:sz w:val="28"/>
          <w:szCs w:val="28"/>
          <w:lang w:val="en-GB"/>
        </w:rPr>
        <w:t xml:space="preserve"> </w:t>
      </w:r>
      <w:r w:rsidRPr="006319C6">
        <w:rPr>
          <w:rFonts w:ascii="Bookman Old Style" w:hAnsi="Bookman Old Style" w:cs="Times New Roman"/>
          <w:sz w:val="28"/>
          <w:szCs w:val="28"/>
          <w:lang w:val="en-GB"/>
        </w:rPr>
        <w:t xml:space="preserve">historical research, and sources from outside the trial proceedings – </w:t>
      </w:r>
      <w:r w:rsidR="00055E85" w:rsidRPr="006319C6">
        <w:rPr>
          <w:rFonts w:ascii="Bookman Old Style" w:hAnsi="Bookman Old Style" w:cs="Times New Roman"/>
          <w:sz w:val="28"/>
          <w:szCs w:val="28"/>
          <w:lang w:val="en-GB"/>
        </w:rPr>
        <w:lastRenderedPageBreak/>
        <w:t xml:space="preserve">such as </w:t>
      </w:r>
      <w:r w:rsidR="00D7763E" w:rsidRPr="006319C6">
        <w:rPr>
          <w:rFonts w:ascii="Bookman Old Style" w:hAnsi="Bookman Old Style" w:cs="Times New Roman"/>
          <w:sz w:val="28"/>
          <w:szCs w:val="28"/>
          <w:lang w:val="en-GB"/>
        </w:rPr>
        <w:t xml:space="preserve">theoretical and historical academic writings and </w:t>
      </w:r>
      <w:r w:rsidRPr="006319C6">
        <w:rPr>
          <w:rFonts w:ascii="Bookman Old Style" w:hAnsi="Bookman Old Style" w:cs="Times New Roman"/>
          <w:sz w:val="28"/>
          <w:szCs w:val="28"/>
          <w:lang w:val="en-GB"/>
        </w:rPr>
        <w:t xml:space="preserve">so called </w:t>
      </w:r>
      <w:r w:rsidR="00806E59" w:rsidRPr="006319C6">
        <w:rPr>
          <w:rFonts w:ascii="Bookman Old Style" w:hAnsi="Bookman Old Style" w:cs="Times New Roman"/>
          <w:sz w:val="28"/>
          <w:szCs w:val="28"/>
          <w:lang w:val="nl-NL"/>
        </w:rPr>
        <w:t>“</w:t>
      </w:r>
      <w:proofErr w:type="spellStart"/>
      <w:r w:rsidRPr="006319C6">
        <w:rPr>
          <w:rFonts w:ascii="Bookman Old Style" w:hAnsi="Bookman Old Style" w:cs="Times New Roman"/>
          <w:sz w:val="28"/>
          <w:szCs w:val="28"/>
          <w:lang w:val="en-GB"/>
        </w:rPr>
        <w:t>extratrial</w:t>
      </w:r>
      <w:proofErr w:type="spellEnd"/>
      <w:r w:rsidRPr="006319C6">
        <w:rPr>
          <w:rFonts w:ascii="Bookman Old Style" w:hAnsi="Bookman Old Style" w:cs="Times New Roman"/>
          <w:sz w:val="28"/>
          <w:szCs w:val="28"/>
          <w:lang w:val="en-GB"/>
        </w:rPr>
        <w:t xml:space="preserve"> material</w:t>
      </w:r>
      <w:r w:rsidR="00806E59" w:rsidRPr="006319C6">
        <w:rPr>
          <w:rFonts w:ascii="Bookman Old Style" w:hAnsi="Bookman Old Style" w:cs="Times New Roman"/>
          <w:sz w:val="28"/>
          <w:szCs w:val="28"/>
          <w:lang w:val="en-GB"/>
        </w:rPr>
        <w:t>”</w:t>
      </w:r>
      <w:r w:rsidR="00D7763E" w:rsidRPr="006319C6">
        <w:rPr>
          <w:rStyle w:val="FootnoteReference"/>
          <w:rFonts w:ascii="Bookman Old Style" w:hAnsi="Bookman Old Style"/>
          <w:sz w:val="28"/>
          <w:szCs w:val="28"/>
          <w:lang w:val="en-GB"/>
        </w:rPr>
        <w:footnoteReference w:id="75"/>
      </w:r>
      <w:r w:rsidRPr="006319C6">
        <w:rPr>
          <w:rFonts w:ascii="Bookman Old Style" w:hAnsi="Bookman Old Style" w:cs="Times New Roman"/>
          <w:sz w:val="28"/>
          <w:szCs w:val="28"/>
          <w:lang w:val="en-GB"/>
        </w:rPr>
        <w:t xml:space="preserve"> – w</w:t>
      </w:r>
      <w:r w:rsidR="00BF3AE8" w:rsidRPr="006319C6">
        <w:rPr>
          <w:rFonts w:ascii="Bookman Old Style" w:hAnsi="Bookman Old Style" w:cs="Times New Roman"/>
          <w:sz w:val="28"/>
          <w:szCs w:val="28"/>
          <w:lang w:val="en-GB"/>
        </w:rPr>
        <w:t>ill be used by historians.</w:t>
      </w:r>
    </w:p>
    <w:p w14:paraId="05C3BCD6" w14:textId="77777777" w:rsidR="00A9165D" w:rsidRPr="006319C6" w:rsidRDefault="00A9165D" w:rsidP="00A9165D">
      <w:pPr>
        <w:shd w:val="clear" w:color="auto" w:fill="FFFFFF" w:themeFill="background1"/>
        <w:ind w:firstLine="720"/>
        <w:jc w:val="both"/>
        <w:rPr>
          <w:rFonts w:ascii="Bookman Old Style" w:hAnsi="Bookman Old Style" w:cs="Times New Roman"/>
          <w:sz w:val="28"/>
          <w:szCs w:val="28"/>
          <w:lang w:val="en-GB"/>
        </w:rPr>
      </w:pPr>
    </w:p>
    <w:p w14:paraId="6083E1E8" w14:textId="67904C45" w:rsidR="00F449CC" w:rsidRPr="006319C6" w:rsidRDefault="009E1765" w:rsidP="003D3E80">
      <w:pPr>
        <w:pStyle w:val="Paragraph"/>
        <w:tabs>
          <w:tab w:val="left" w:pos="0"/>
        </w:tabs>
        <w:spacing w:before="0" w:after="0" w:line="240" w:lineRule="auto"/>
        <w:ind w:hanging="284"/>
        <w:jc w:val="center"/>
        <w:rPr>
          <w:rFonts w:ascii="Bookman Old Style" w:hAnsi="Bookman Old Style"/>
          <w:i/>
          <w:sz w:val="28"/>
          <w:szCs w:val="28"/>
          <w:lang w:val="en-GB"/>
        </w:rPr>
      </w:pPr>
      <w:r w:rsidRPr="006319C6">
        <w:rPr>
          <w:rFonts w:ascii="Bookman Old Style" w:hAnsi="Bookman Old Style"/>
          <w:i/>
          <w:sz w:val="28"/>
          <w:szCs w:val="28"/>
          <w:lang w:val="en-GB"/>
        </w:rPr>
        <w:t>MASS ATROCITIES TRIAL AS A HISTORICAL SOURCE</w:t>
      </w:r>
    </w:p>
    <w:p w14:paraId="18B8AC26" w14:textId="77777777" w:rsidR="003D3E80" w:rsidRPr="006319C6" w:rsidRDefault="003D3E80" w:rsidP="00A9165D">
      <w:pPr>
        <w:pStyle w:val="Paragraph"/>
        <w:spacing w:before="0" w:after="0" w:line="240" w:lineRule="auto"/>
        <w:rPr>
          <w:rFonts w:ascii="Bookman Old Style" w:hAnsi="Bookman Old Style"/>
          <w:sz w:val="28"/>
          <w:szCs w:val="28"/>
          <w:lang w:val="en-GB"/>
        </w:rPr>
      </w:pPr>
    </w:p>
    <w:p w14:paraId="496A24F1" w14:textId="11AD75DE" w:rsidR="00C80E96" w:rsidRPr="006319C6" w:rsidRDefault="00F449CC"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lang w:val="en-GB"/>
        </w:rPr>
        <w:tab/>
      </w:r>
      <w:r w:rsidR="003D3E80" w:rsidRPr="006319C6">
        <w:rPr>
          <w:rFonts w:ascii="Bookman Old Style" w:hAnsi="Bookman Old Style"/>
          <w:sz w:val="28"/>
          <w:szCs w:val="28"/>
          <w:lang w:val="en-GB"/>
        </w:rPr>
        <w:t>T</w:t>
      </w:r>
      <w:r w:rsidR="00C80E96" w:rsidRPr="006319C6">
        <w:rPr>
          <w:rFonts w:ascii="Bookman Old Style" w:hAnsi="Bookman Old Style"/>
          <w:sz w:val="28"/>
          <w:szCs w:val="28"/>
        </w:rPr>
        <w:t xml:space="preserve">he historical record of this trial due to its size will remain </w:t>
      </w:r>
      <w:r w:rsidR="00BF3AE8" w:rsidRPr="006319C6">
        <w:rPr>
          <w:rFonts w:ascii="Bookman Old Style" w:hAnsi="Bookman Old Style"/>
          <w:sz w:val="28"/>
          <w:szCs w:val="28"/>
        </w:rPr>
        <w:t>an amorphous mass</w:t>
      </w:r>
      <w:r w:rsidR="00C80E96" w:rsidRPr="006319C6">
        <w:rPr>
          <w:rFonts w:ascii="Bookman Old Style" w:hAnsi="Bookman Old Style"/>
          <w:sz w:val="28"/>
          <w:szCs w:val="28"/>
        </w:rPr>
        <w:t xml:space="preserve"> if not filt</w:t>
      </w:r>
      <w:r w:rsidR="007C6D63" w:rsidRPr="006319C6">
        <w:rPr>
          <w:rFonts w:ascii="Bookman Old Style" w:hAnsi="Bookman Old Style"/>
          <w:sz w:val="28"/>
          <w:szCs w:val="28"/>
        </w:rPr>
        <w:t>ered by relevance accorded thereto</w:t>
      </w:r>
      <w:r w:rsidR="00C80E96" w:rsidRPr="006319C6">
        <w:rPr>
          <w:rFonts w:ascii="Bookman Old Style" w:hAnsi="Bookman Old Style"/>
          <w:sz w:val="28"/>
          <w:szCs w:val="28"/>
        </w:rPr>
        <w:t xml:space="preserve"> by a researcher. This is why a historical record might be best exploited </w:t>
      </w:r>
      <w:r w:rsidR="00461C08" w:rsidRPr="006319C6">
        <w:rPr>
          <w:rFonts w:ascii="Bookman Old Style" w:hAnsi="Bookman Old Style"/>
          <w:sz w:val="28"/>
          <w:szCs w:val="28"/>
        </w:rPr>
        <w:t>when</w:t>
      </w:r>
      <w:r w:rsidR="00C80E96" w:rsidRPr="006319C6">
        <w:rPr>
          <w:rFonts w:ascii="Bookman Old Style" w:hAnsi="Bookman Old Style"/>
          <w:sz w:val="28"/>
          <w:szCs w:val="28"/>
        </w:rPr>
        <w:t xml:space="preserve"> specific tra</w:t>
      </w:r>
      <w:r w:rsidR="00461C08" w:rsidRPr="006319C6">
        <w:rPr>
          <w:rFonts w:ascii="Bookman Old Style" w:hAnsi="Bookman Old Style"/>
          <w:sz w:val="28"/>
          <w:szCs w:val="28"/>
        </w:rPr>
        <w:t>n</w:t>
      </w:r>
      <w:r w:rsidR="00C80E96" w:rsidRPr="006319C6">
        <w:rPr>
          <w:rFonts w:ascii="Bookman Old Style" w:hAnsi="Bookman Old Style"/>
          <w:sz w:val="28"/>
          <w:szCs w:val="28"/>
        </w:rPr>
        <w:t>scripts, documents</w:t>
      </w:r>
      <w:r w:rsidR="007C6D63" w:rsidRPr="006319C6">
        <w:rPr>
          <w:rFonts w:ascii="Bookman Old Style" w:hAnsi="Bookman Old Style"/>
          <w:sz w:val="28"/>
          <w:szCs w:val="28"/>
        </w:rPr>
        <w:t>,</w:t>
      </w:r>
      <w:r w:rsidR="00C80E96" w:rsidRPr="006319C6">
        <w:rPr>
          <w:rFonts w:ascii="Bookman Old Style" w:hAnsi="Bookman Old Style"/>
          <w:sz w:val="28"/>
          <w:szCs w:val="28"/>
        </w:rPr>
        <w:t xml:space="preserve"> or videos are selected for their value as a historcal source. </w:t>
      </w:r>
    </w:p>
    <w:p w14:paraId="52AB13DB" w14:textId="77777777" w:rsidR="009E1765" w:rsidRPr="006319C6" w:rsidRDefault="008B20D7" w:rsidP="00A9165D">
      <w:pPr>
        <w:shd w:val="clear" w:color="auto" w:fill="FFFFFF" w:themeFill="background1"/>
        <w:ind w:firstLine="720"/>
        <w:jc w:val="both"/>
        <w:rPr>
          <w:rFonts w:ascii="Bookman Old Style" w:hAnsi="Bookman Old Style" w:cs="Times New Roman"/>
          <w:sz w:val="28"/>
          <w:szCs w:val="28"/>
        </w:rPr>
      </w:pPr>
      <w:proofErr w:type="spellStart"/>
      <w:r w:rsidRPr="006319C6">
        <w:rPr>
          <w:rFonts w:ascii="Bookman Old Style" w:hAnsi="Bookman Old Style" w:cs="Times New Roman"/>
          <w:sz w:val="28"/>
          <w:szCs w:val="28"/>
        </w:rPr>
        <w:t>Marrus</w:t>
      </w:r>
      <w:proofErr w:type="spellEnd"/>
      <w:r w:rsidRPr="006319C6">
        <w:rPr>
          <w:rFonts w:ascii="Bookman Old Style" w:hAnsi="Bookman Old Style" w:cs="Times New Roman"/>
          <w:sz w:val="28"/>
          <w:szCs w:val="28"/>
        </w:rPr>
        <w:t xml:space="preserve"> made a valid point that the trial archive of any mass atrociti</w:t>
      </w:r>
      <w:r w:rsidR="00B60DDE" w:rsidRPr="006319C6">
        <w:rPr>
          <w:rFonts w:ascii="Bookman Old Style" w:hAnsi="Bookman Old Style" w:cs="Times New Roman"/>
          <w:sz w:val="28"/>
          <w:szCs w:val="28"/>
        </w:rPr>
        <w:t>es</w:t>
      </w:r>
      <w:r w:rsidR="007C6D63" w:rsidRPr="006319C6">
        <w:rPr>
          <w:rFonts w:ascii="Bookman Old Style" w:hAnsi="Bookman Old Style" w:cs="Times New Roman"/>
          <w:sz w:val="28"/>
          <w:szCs w:val="28"/>
        </w:rPr>
        <w:t xml:space="preserve"> trial should be treated just as</w:t>
      </w:r>
      <w:r w:rsidRPr="006319C6">
        <w:rPr>
          <w:rFonts w:ascii="Bookman Old Style" w:hAnsi="Bookman Old Style" w:cs="Times New Roman"/>
          <w:sz w:val="28"/>
          <w:szCs w:val="28"/>
        </w:rPr>
        <w:t xml:space="preserve"> any other historical source. He emphas</w:t>
      </w:r>
      <w:r w:rsidR="00CF3102" w:rsidRPr="006319C6">
        <w:rPr>
          <w:rFonts w:ascii="Bookman Old Style" w:hAnsi="Bookman Old Style" w:cs="Times New Roman"/>
          <w:sz w:val="28"/>
          <w:szCs w:val="28"/>
        </w:rPr>
        <w:t>i</w:t>
      </w:r>
      <w:r w:rsidR="007C6D63" w:rsidRPr="006319C6">
        <w:rPr>
          <w:rFonts w:ascii="Bookman Old Style" w:hAnsi="Bookman Old Style" w:cs="Times New Roman"/>
          <w:sz w:val="28"/>
          <w:szCs w:val="28"/>
        </w:rPr>
        <w:t>zed</w:t>
      </w:r>
      <w:r w:rsidRPr="006319C6">
        <w:rPr>
          <w:rFonts w:ascii="Bookman Old Style" w:hAnsi="Bookman Old Style" w:cs="Times New Roman"/>
          <w:sz w:val="28"/>
          <w:szCs w:val="28"/>
        </w:rPr>
        <w:t xml:space="preserve"> that historians must evaluate </w:t>
      </w:r>
    </w:p>
    <w:p w14:paraId="72F8B409" w14:textId="0825A91B" w:rsidR="0097363F" w:rsidRPr="006319C6" w:rsidRDefault="008B20D7" w:rsidP="009E1765">
      <w:pPr>
        <w:shd w:val="clear" w:color="auto" w:fill="FFFFFF" w:themeFill="background1"/>
        <w:jc w:val="both"/>
        <w:rPr>
          <w:rFonts w:ascii="Bookman Old Style" w:hAnsi="Bookman Old Style" w:cs="Times New Roman"/>
          <w:sz w:val="28"/>
          <w:szCs w:val="28"/>
        </w:rPr>
      </w:pPr>
      <w:r w:rsidRPr="006319C6">
        <w:rPr>
          <w:rFonts w:ascii="Bookman Old Style" w:hAnsi="Bookman Old Style" w:cs="Times New Roman"/>
          <w:sz w:val="28"/>
          <w:szCs w:val="28"/>
        </w:rPr>
        <w:t>every source wit</w:t>
      </w:r>
      <w:r w:rsidR="009F6C05" w:rsidRPr="006319C6">
        <w:rPr>
          <w:rFonts w:ascii="Bookman Old Style" w:hAnsi="Bookman Old Style" w:cs="Times New Roman"/>
          <w:sz w:val="28"/>
          <w:szCs w:val="28"/>
        </w:rPr>
        <w:t>h an eye to its provenance, becaus</w:t>
      </w:r>
      <w:r w:rsidRPr="006319C6">
        <w:rPr>
          <w:rFonts w:ascii="Bookman Old Style" w:hAnsi="Bookman Old Style" w:cs="Times New Roman"/>
          <w:sz w:val="28"/>
          <w:szCs w:val="28"/>
        </w:rPr>
        <w:t>e all sources are in some sense “tainted”</w:t>
      </w:r>
      <w:r w:rsidR="009F6C05" w:rsidRPr="006319C6">
        <w:rPr>
          <w:rFonts w:ascii="Bookman Old Style" w:hAnsi="Bookman Old Style" w:cs="Times New Roman"/>
          <w:sz w:val="28"/>
          <w:szCs w:val="28"/>
        </w:rPr>
        <w:t>,</w:t>
      </w:r>
      <w:r w:rsidRPr="006319C6">
        <w:rPr>
          <w:rFonts w:ascii="Bookman Old Style" w:hAnsi="Bookman Old Style" w:cs="Times New Roman"/>
          <w:sz w:val="28"/>
          <w:szCs w:val="28"/>
        </w:rPr>
        <w:t xml:space="preserve"> and war crimes trial records are certainly no exception.</w:t>
      </w:r>
      <w:r w:rsidRPr="006319C6">
        <w:rPr>
          <w:rStyle w:val="FootnoteReference"/>
          <w:rFonts w:ascii="Bookman Old Style" w:hAnsi="Bookman Old Style"/>
          <w:sz w:val="28"/>
          <w:szCs w:val="28"/>
        </w:rPr>
        <w:footnoteReference w:id="76"/>
      </w:r>
      <w:r w:rsidRPr="006319C6">
        <w:rPr>
          <w:rFonts w:ascii="Bookman Old Style" w:hAnsi="Bookman Old Style" w:cs="Times New Roman"/>
          <w:sz w:val="28"/>
          <w:szCs w:val="28"/>
        </w:rPr>
        <w:t xml:space="preserve"> </w:t>
      </w:r>
      <w:r w:rsidRPr="006319C6">
        <w:rPr>
          <w:rFonts w:ascii="Bookman Old Style" w:hAnsi="Bookman Old Style" w:cs="Times New Roman"/>
          <w:sz w:val="28"/>
          <w:szCs w:val="28"/>
          <w:lang w:val="en-GB"/>
        </w:rPr>
        <w:t xml:space="preserve"> </w:t>
      </w:r>
      <w:r w:rsidR="00C80E96" w:rsidRPr="006319C6">
        <w:rPr>
          <w:rFonts w:ascii="Bookman Old Style" w:hAnsi="Bookman Old Style" w:cs="Times New Roman"/>
          <w:sz w:val="28"/>
          <w:szCs w:val="28"/>
          <w:lang w:val="en-GB"/>
        </w:rPr>
        <w:t xml:space="preserve">Using a trial archive as a historical source can influence historical narrative, but not in the sense that there will ever be one uncontested historical narrative. Evidentiary focus of criminal proceedings might unwittingly influence historical interpretation and create </w:t>
      </w:r>
      <w:r w:rsidR="009F6C05" w:rsidRPr="006319C6">
        <w:rPr>
          <w:rFonts w:ascii="Bookman Old Style" w:hAnsi="Bookman Old Style" w:cs="Times New Roman"/>
          <w:sz w:val="28"/>
          <w:szCs w:val="28"/>
          <w:lang w:val="en-GB"/>
        </w:rPr>
        <w:t>what has come to be known, because</w:t>
      </w:r>
      <w:r w:rsidR="00C80E96" w:rsidRPr="006319C6">
        <w:rPr>
          <w:rFonts w:ascii="Bookman Old Style" w:hAnsi="Bookman Old Style" w:cs="Times New Roman"/>
          <w:sz w:val="28"/>
          <w:szCs w:val="28"/>
          <w:lang w:val="en-GB"/>
        </w:rPr>
        <w:t xml:space="preserve"> the Holocaust trials in Nuremberg, as an </w:t>
      </w:r>
      <w:r w:rsidR="00806E59" w:rsidRPr="006319C6">
        <w:rPr>
          <w:rFonts w:ascii="Bookman Old Style" w:hAnsi="Bookman Old Style" w:cs="Times New Roman"/>
          <w:sz w:val="28"/>
          <w:szCs w:val="28"/>
          <w:lang w:val="en-GB"/>
        </w:rPr>
        <w:t>“</w:t>
      </w:r>
      <w:proofErr w:type="spellStart"/>
      <w:r w:rsidR="00C80E96" w:rsidRPr="006319C6">
        <w:rPr>
          <w:rFonts w:ascii="Bookman Old Style" w:hAnsi="Bookman Old Style" w:cs="Times New Roman"/>
          <w:sz w:val="28"/>
          <w:szCs w:val="28"/>
          <w:lang w:val="en-GB"/>
        </w:rPr>
        <w:t>intentionalist</w:t>
      </w:r>
      <w:proofErr w:type="spellEnd"/>
      <w:r w:rsidR="00806E59" w:rsidRPr="006319C6">
        <w:rPr>
          <w:rFonts w:ascii="Bookman Old Style" w:hAnsi="Bookman Old Style" w:cs="Times New Roman"/>
          <w:sz w:val="28"/>
          <w:szCs w:val="28"/>
          <w:lang w:val="en-GB"/>
        </w:rPr>
        <w:t>”</w:t>
      </w:r>
      <w:r w:rsidR="00C80E96" w:rsidRPr="006319C6">
        <w:rPr>
          <w:rFonts w:ascii="Bookman Old Style" w:hAnsi="Bookman Old Style" w:cs="Times New Roman"/>
          <w:sz w:val="28"/>
          <w:szCs w:val="28"/>
          <w:lang w:val="en-GB"/>
        </w:rPr>
        <w:t xml:space="preserve"> view of the historical period in question. Thus reliance on the Nuremberg trials archives has led historians to maintain that the Holocaust resulted from an explicit master plan created by Adolf Hitler himself and implemented top-down.</w:t>
      </w:r>
      <w:r w:rsidR="00C80E96" w:rsidRPr="006319C6">
        <w:rPr>
          <w:rStyle w:val="FootnoteReference"/>
          <w:rFonts w:ascii="Bookman Old Style" w:hAnsi="Bookman Old Style"/>
          <w:sz w:val="28"/>
          <w:szCs w:val="28"/>
          <w:lang w:val="en-GB"/>
        </w:rPr>
        <w:footnoteReference w:id="77"/>
      </w:r>
      <w:r w:rsidR="00C80E96" w:rsidRPr="006319C6">
        <w:rPr>
          <w:rFonts w:ascii="Bookman Old Style" w:hAnsi="Bookman Old Style" w:cs="Times New Roman"/>
          <w:sz w:val="28"/>
          <w:szCs w:val="28"/>
          <w:lang w:val="en-GB"/>
        </w:rPr>
        <w:t xml:space="preserve"> Only later was attention directed to the role of minor bureaucrats and functionaries at all levels of German society – an approach that yielded a </w:t>
      </w:r>
      <w:r w:rsidR="00806E59" w:rsidRPr="006319C6">
        <w:rPr>
          <w:rFonts w:ascii="Bookman Old Style" w:hAnsi="Bookman Old Style" w:cs="Times New Roman"/>
          <w:sz w:val="28"/>
          <w:szCs w:val="28"/>
          <w:lang w:val="en-GB"/>
        </w:rPr>
        <w:t>“</w:t>
      </w:r>
      <w:r w:rsidR="00C80E96" w:rsidRPr="006319C6">
        <w:rPr>
          <w:rFonts w:ascii="Bookman Old Style" w:hAnsi="Bookman Old Style" w:cs="Times New Roman"/>
          <w:sz w:val="28"/>
          <w:szCs w:val="28"/>
          <w:lang w:val="en-GB"/>
        </w:rPr>
        <w:t>functionalist</w:t>
      </w:r>
      <w:r w:rsidR="00806E59" w:rsidRPr="006319C6">
        <w:rPr>
          <w:rFonts w:ascii="Bookman Old Style" w:hAnsi="Bookman Old Style" w:cs="Times New Roman"/>
          <w:sz w:val="28"/>
          <w:szCs w:val="28"/>
          <w:lang w:val="en-GB"/>
        </w:rPr>
        <w:t>”</w:t>
      </w:r>
      <w:r w:rsidR="00C80E96" w:rsidRPr="006319C6">
        <w:rPr>
          <w:rFonts w:ascii="Bookman Old Style" w:hAnsi="Bookman Old Style" w:cs="Times New Roman"/>
          <w:sz w:val="28"/>
          <w:szCs w:val="28"/>
          <w:lang w:val="en-GB"/>
        </w:rPr>
        <w:t xml:space="preserve"> interpretation focused on the complicity of ordinary Germans in the Holocaust, to such an extent that </w:t>
      </w:r>
      <w:r w:rsidR="00C80E96" w:rsidRPr="006319C6">
        <w:rPr>
          <w:rFonts w:ascii="Bookman Old Style" w:hAnsi="Bookman Old Style" w:cs="Times New Roman"/>
          <w:sz w:val="28"/>
          <w:szCs w:val="28"/>
          <w:lang w:val="en-GB"/>
        </w:rPr>
        <w:lastRenderedPageBreak/>
        <w:t>some scholars now ascribe the adoption of the Final Solution primarily to social and political pressures working their way bottom-up.</w:t>
      </w:r>
      <w:r w:rsidR="00C80E96" w:rsidRPr="006319C6">
        <w:rPr>
          <w:rStyle w:val="FootnoteReference"/>
          <w:rFonts w:ascii="Bookman Old Style" w:hAnsi="Bookman Old Style"/>
          <w:sz w:val="28"/>
          <w:szCs w:val="28"/>
          <w:lang w:val="en-GB"/>
        </w:rPr>
        <w:footnoteReference w:id="78"/>
      </w:r>
      <w:r w:rsidR="00C80E96" w:rsidRPr="006319C6">
        <w:rPr>
          <w:rFonts w:ascii="Bookman Old Style" w:hAnsi="Bookman Old Style" w:cs="Times New Roman"/>
          <w:sz w:val="28"/>
          <w:szCs w:val="28"/>
          <w:lang w:val="en-GB"/>
        </w:rPr>
        <w:t xml:space="preserve">  </w:t>
      </w:r>
    </w:p>
    <w:p w14:paraId="1E9EFFD0" w14:textId="4D9AD985" w:rsidR="00C80E96" w:rsidRPr="006319C6" w:rsidRDefault="00C80E96" w:rsidP="00A9165D">
      <w:pPr>
        <w:shd w:val="clear" w:color="auto" w:fill="FFFFFF" w:themeFill="background1"/>
        <w:ind w:firstLine="720"/>
        <w:jc w:val="both"/>
        <w:rPr>
          <w:rFonts w:ascii="Bookman Old Style" w:hAnsi="Bookman Old Style" w:cs="Times New Roman"/>
          <w:sz w:val="28"/>
          <w:szCs w:val="28"/>
          <w:lang w:val="hr-HR"/>
        </w:rPr>
      </w:pPr>
      <w:r w:rsidRPr="006319C6">
        <w:rPr>
          <w:rFonts w:ascii="Bookman Old Style" w:hAnsi="Bookman Old Style" w:cs="Times New Roman"/>
          <w:sz w:val="28"/>
          <w:szCs w:val="28"/>
          <w:lang w:val="en-GB"/>
        </w:rPr>
        <w:t xml:space="preserve">So did the </w:t>
      </w:r>
      <w:proofErr w:type="spellStart"/>
      <w:r w:rsidRPr="006319C6">
        <w:rPr>
          <w:rFonts w:ascii="Bookman Old Style" w:hAnsi="Bookman Old Style" w:cs="Times New Roman"/>
          <w:sz w:val="28"/>
          <w:szCs w:val="28"/>
          <w:lang w:val="en-GB"/>
        </w:rPr>
        <w:t>Milošević</w:t>
      </w:r>
      <w:proofErr w:type="spellEnd"/>
      <w:r w:rsidRPr="006319C6">
        <w:rPr>
          <w:rFonts w:ascii="Bookman Old Style" w:hAnsi="Bookman Old Style" w:cs="Times New Roman"/>
          <w:sz w:val="28"/>
          <w:szCs w:val="28"/>
          <w:lang w:val="en-GB"/>
        </w:rPr>
        <w:t xml:space="preserve"> trial archive contribute to the already existing historical narratives</w:t>
      </w:r>
      <w:r w:rsidRPr="006319C6">
        <w:rPr>
          <w:rFonts w:ascii="Bookman Old Style" w:hAnsi="Bookman Old Style" w:cs="Times New Roman"/>
          <w:sz w:val="28"/>
          <w:szCs w:val="28"/>
          <w:lang w:val="nl-NL"/>
        </w:rPr>
        <w:t>?</w:t>
      </w:r>
      <w:r w:rsidRPr="006319C6">
        <w:rPr>
          <w:rFonts w:ascii="Bookman Old Style" w:hAnsi="Bookman Old Style" w:cs="Times New Roman"/>
          <w:sz w:val="28"/>
          <w:szCs w:val="28"/>
          <w:lang w:val="en-GB"/>
        </w:rPr>
        <w:t xml:space="preserve"> The part </w:t>
      </w:r>
      <w:proofErr w:type="spellStart"/>
      <w:r w:rsidRPr="006319C6">
        <w:rPr>
          <w:rFonts w:ascii="Bookman Old Style" w:hAnsi="Bookman Old Style" w:cs="Times New Roman"/>
          <w:sz w:val="28"/>
          <w:szCs w:val="28"/>
          <w:lang w:val="en-GB"/>
        </w:rPr>
        <w:t>Milošević</w:t>
      </w:r>
      <w:proofErr w:type="spellEnd"/>
      <w:r w:rsidRPr="006319C6">
        <w:rPr>
          <w:rFonts w:ascii="Bookman Old Style" w:hAnsi="Bookman Old Style" w:cs="Times New Roman"/>
          <w:sz w:val="28"/>
          <w:szCs w:val="28"/>
          <w:lang w:val="en-GB"/>
        </w:rPr>
        <w:t xml:space="preserve"> played in events of</w:t>
      </w:r>
      <w:r w:rsidR="005D18D4" w:rsidRPr="006319C6">
        <w:rPr>
          <w:rFonts w:ascii="Bookman Old Style" w:hAnsi="Bookman Old Style" w:cs="Times New Roman"/>
          <w:sz w:val="28"/>
          <w:szCs w:val="28"/>
          <w:lang w:val="en-GB"/>
        </w:rPr>
        <w:t xml:space="preserve"> the 1980s and 1990s has</w:t>
      </w:r>
      <w:r w:rsidRPr="006319C6">
        <w:rPr>
          <w:rFonts w:ascii="Bookman Old Style" w:hAnsi="Bookman Old Style" w:cs="Times New Roman"/>
          <w:sz w:val="28"/>
          <w:szCs w:val="28"/>
          <w:lang w:val="en-GB"/>
        </w:rPr>
        <w:t xml:space="preserve"> been explored in a number of p</w:t>
      </w:r>
      <w:r w:rsidR="005D18D4" w:rsidRPr="006319C6">
        <w:rPr>
          <w:rFonts w:ascii="Bookman Old Style" w:hAnsi="Bookman Old Style" w:cs="Times New Roman"/>
          <w:sz w:val="28"/>
          <w:szCs w:val="28"/>
          <w:lang w:val="en-GB"/>
        </w:rPr>
        <w:t>olitical biographies. T</w:t>
      </w:r>
      <w:r w:rsidR="00461C08" w:rsidRPr="006319C6">
        <w:rPr>
          <w:rFonts w:ascii="Bookman Old Style" w:hAnsi="Bookman Old Style" w:cs="Times New Roman"/>
          <w:sz w:val="28"/>
          <w:szCs w:val="28"/>
          <w:lang w:val="en-GB"/>
        </w:rPr>
        <w:t xml:space="preserve">he best </w:t>
      </w:r>
      <w:r w:rsidRPr="006319C6">
        <w:rPr>
          <w:rFonts w:ascii="Bookman Old Style" w:hAnsi="Bookman Old Style" w:cs="Times New Roman"/>
          <w:sz w:val="28"/>
          <w:szCs w:val="28"/>
          <w:lang w:val="en-GB"/>
        </w:rPr>
        <w:t>known of these biographies, written in both English and Serbian, were published before his trial or in the same year that it started.</w:t>
      </w:r>
      <w:r w:rsidRPr="006319C6">
        <w:rPr>
          <w:rStyle w:val="FootnoteReference"/>
          <w:rFonts w:ascii="Bookman Old Style" w:hAnsi="Bookman Old Style"/>
          <w:sz w:val="28"/>
          <w:szCs w:val="28"/>
          <w:lang w:val="en-GB"/>
        </w:rPr>
        <w:footnoteReference w:id="79"/>
      </w:r>
      <w:r w:rsidRPr="006319C6">
        <w:rPr>
          <w:rFonts w:ascii="Bookman Old Style" w:hAnsi="Bookman Old Style" w:cs="Times New Roman"/>
          <w:sz w:val="28"/>
          <w:szCs w:val="28"/>
          <w:lang w:val="en-GB"/>
        </w:rPr>
        <w:t xml:space="preserve">  This m</w:t>
      </w:r>
      <w:r w:rsidR="005D55E0" w:rsidRPr="006319C6">
        <w:rPr>
          <w:rFonts w:ascii="Bookman Old Style" w:hAnsi="Bookman Old Style" w:cs="Times New Roman"/>
          <w:sz w:val="28"/>
          <w:szCs w:val="28"/>
          <w:lang w:val="en-GB"/>
        </w:rPr>
        <w:t xml:space="preserve">eans that only few authors </w:t>
      </w:r>
      <w:r w:rsidRPr="006319C6">
        <w:rPr>
          <w:rFonts w:ascii="Bookman Old Style" w:hAnsi="Bookman Old Style" w:cs="Times New Roman"/>
          <w:sz w:val="28"/>
          <w:szCs w:val="28"/>
          <w:lang w:val="en-GB"/>
        </w:rPr>
        <w:t xml:space="preserve">presented the trail of evidence that was followed in the courtroom to establish responsibility for the break-up of Yugoslavia and, more importantly, the violence that followed. </w:t>
      </w:r>
    </w:p>
    <w:p w14:paraId="54C8833C" w14:textId="6A0548DD" w:rsidR="00C80E96" w:rsidRPr="006319C6" w:rsidRDefault="00C80E96" w:rsidP="00A9165D">
      <w:pPr>
        <w:pStyle w:val="NT-Normal"/>
        <w:spacing w:before="0" w:line="240" w:lineRule="auto"/>
        <w:rPr>
          <w:rFonts w:ascii="Bookman Old Style" w:hAnsi="Bookman Old Style" w:cs="Times New Roman"/>
          <w:color w:val="auto"/>
          <w:sz w:val="28"/>
          <w:szCs w:val="28"/>
          <w:lang w:val="en-GB"/>
        </w:rPr>
      </w:pPr>
      <w:r w:rsidRPr="006319C6">
        <w:rPr>
          <w:rFonts w:ascii="Bookman Old Style" w:hAnsi="Bookman Old Style" w:cs="Times New Roman"/>
          <w:color w:val="auto"/>
          <w:sz w:val="28"/>
          <w:szCs w:val="28"/>
          <w:lang w:val="en-GB"/>
        </w:rPr>
        <w:tab/>
        <w:t xml:space="preserve">A majority of authors agree that </w:t>
      </w:r>
      <w:proofErr w:type="spellStart"/>
      <w:r w:rsidRPr="006319C6">
        <w:rPr>
          <w:rFonts w:ascii="Bookman Old Style" w:hAnsi="Bookman Old Style" w:cs="Times New Roman"/>
          <w:color w:val="auto"/>
          <w:sz w:val="28"/>
          <w:szCs w:val="28"/>
          <w:lang w:val="en-GB"/>
        </w:rPr>
        <w:t>Milošević</w:t>
      </w:r>
      <w:proofErr w:type="spellEnd"/>
      <w:r w:rsidRPr="006319C6">
        <w:rPr>
          <w:rFonts w:ascii="Bookman Old Style" w:hAnsi="Bookman Old Style" w:cs="Times New Roman"/>
          <w:color w:val="auto"/>
          <w:sz w:val="28"/>
          <w:szCs w:val="28"/>
          <w:lang w:val="en-GB"/>
        </w:rPr>
        <w:t xml:space="preserve"> played a central role in events that unfolded in the former SFRY between 1987 and 1999.</w:t>
      </w:r>
      <w:r w:rsidRPr="006319C6">
        <w:rPr>
          <w:rFonts w:ascii="Bookman Old Style" w:hAnsi="Bookman Old Style" w:cs="Times New Roman"/>
          <w:i/>
          <w:color w:val="auto"/>
          <w:sz w:val="28"/>
          <w:szCs w:val="28"/>
          <w:lang w:val="en-GB"/>
        </w:rPr>
        <w:t xml:space="preserve"> </w:t>
      </w:r>
      <w:r w:rsidR="00E3418B" w:rsidRPr="006319C6">
        <w:rPr>
          <w:rFonts w:ascii="Bookman Old Style" w:hAnsi="Bookman Old Style" w:cs="Times New Roman"/>
          <w:color w:val="auto"/>
          <w:sz w:val="28"/>
          <w:szCs w:val="28"/>
          <w:lang w:val="en-GB"/>
        </w:rPr>
        <w:t xml:space="preserve">There are at </w:t>
      </w:r>
      <w:r w:rsidR="00CF3102" w:rsidRPr="006319C6">
        <w:rPr>
          <w:rFonts w:ascii="Bookman Old Style" w:hAnsi="Bookman Old Style" w:cs="Times New Roman"/>
          <w:color w:val="auto"/>
          <w:sz w:val="28"/>
          <w:szCs w:val="28"/>
          <w:lang w:val="en-GB"/>
        </w:rPr>
        <w:t>le</w:t>
      </w:r>
      <w:r w:rsidR="00E3418B" w:rsidRPr="006319C6">
        <w:rPr>
          <w:rFonts w:ascii="Bookman Old Style" w:hAnsi="Bookman Old Style" w:cs="Times New Roman"/>
          <w:color w:val="auto"/>
          <w:sz w:val="28"/>
          <w:szCs w:val="28"/>
          <w:lang w:val="en-GB"/>
        </w:rPr>
        <w:t xml:space="preserve">ast </w:t>
      </w:r>
      <w:r w:rsidRPr="006319C6">
        <w:rPr>
          <w:rFonts w:ascii="Bookman Old Style" w:hAnsi="Bookman Old Style" w:cs="Times New Roman"/>
          <w:color w:val="auto"/>
          <w:sz w:val="28"/>
          <w:szCs w:val="28"/>
          <w:lang w:val="en-GB"/>
        </w:rPr>
        <w:t xml:space="preserve">three categories of interpretations of </w:t>
      </w:r>
      <w:proofErr w:type="spellStart"/>
      <w:r w:rsidRPr="006319C6">
        <w:rPr>
          <w:rFonts w:ascii="Bookman Old Style" w:hAnsi="Bookman Old Style" w:cs="Times New Roman"/>
          <w:color w:val="auto"/>
          <w:sz w:val="28"/>
          <w:szCs w:val="28"/>
          <w:lang w:val="en-GB"/>
        </w:rPr>
        <w:t>Milošević’s</w:t>
      </w:r>
      <w:proofErr w:type="spellEnd"/>
      <w:r w:rsidRPr="006319C6">
        <w:rPr>
          <w:rFonts w:ascii="Bookman Old Style" w:hAnsi="Bookman Old Style" w:cs="Times New Roman"/>
          <w:color w:val="auto"/>
          <w:sz w:val="28"/>
          <w:szCs w:val="28"/>
          <w:lang w:val="en-GB"/>
        </w:rPr>
        <w:t xml:space="preserve"> role in the disintegration of Yugoslavia </w:t>
      </w:r>
      <w:r w:rsidR="00E3418B" w:rsidRPr="006319C6">
        <w:rPr>
          <w:rFonts w:ascii="Bookman Old Style" w:hAnsi="Bookman Old Style" w:cs="Times New Roman"/>
          <w:color w:val="auto"/>
          <w:sz w:val="28"/>
          <w:szCs w:val="28"/>
          <w:lang w:val="en-GB"/>
        </w:rPr>
        <w:t>that could be</w:t>
      </w:r>
      <w:r w:rsidRPr="006319C6">
        <w:rPr>
          <w:rFonts w:ascii="Bookman Old Style" w:hAnsi="Bookman Old Style" w:cs="Times New Roman"/>
          <w:color w:val="auto"/>
          <w:sz w:val="28"/>
          <w:szCs w:val="28"/>
          <w:lang w:val="en-GB"/>
        </w:rPr>
        <w:t xml:space="preserve"> identified</w:t>
      </w:r>
      <w:r w:rsidR="00E3418B" w:rsidRPr="006319C6">
        <w:rPr>
          <w:rFonts w:ascii="Bookman Old Style" w:hAnsi="Bookman Old Style" w:cs="Times New Roman"/>
          <w:color w:val="auto"/>
          <w:sz w:val="28"/>
          <w:szCs w:val="28"/>
          <w:lang w:val="en-GB"/>
        </w:rPr>
        <w:t xml:space="preserve"> so far</w:t>
      </w:r>
      <w:r w:rsidRPr="006319C6">
        <w:rPr>
          <w:rFonts w:ascii="Bookman Old Style" w:hAnsi="Bookman Old Style" w:cs="Times New Roman"/>
          <w:color w:val="auto"/>
          <w:sz w:val="28"/>
          <w:szCs w:val="28"/>
          <w:lang w:val="en-GB"/>
        </w:rPr>
        <w:t>:</w:t>
      </w:r>
      <w:r w:rsidR="00461C08" w:rsidRPr="006319C6">
        <w:rPr>
          <w:rFonts w:ascii="Bookman Old Style" w:hAnsi="Bookman Old Style" w:cs="Times New Roman"/>
          <w:color w:val="auto"/>
          <w:sz w:val="28"/>
          <w:szCs w:val="28"/>
          <w:lang w:val="en-GB"/>
        </w:rPr>
        <w:t xml:space="preserve"> </w:t>
      </w:r>
      <w:proofErr w:type="spellStart"/>
      <w:r w:rsidRPr="006319C6">
        <w:rPr>
          <w:rFonts w:ascii="Bookman Old Style" w:hAnsi="Bookman Old Style" w:cs="Times New Roman"/>
          <w:color w:val="auto"/>
          <w:sz w:val="28"/>
          <w:szCs w:val="28"/>
          <w:lang w:val="en-GB"/>
        </w:rPr>
        <w:t>intentionalist</w:t>
      </w:r>
      <w:proofErr w:type="spellEnd"/>
      <w:r w:rsidRPr="006319C6">
        <w:rPr>
          <w:rFonts w:ascii="Bookman Old Style" w:hAnsi="Bookman Old Style" w:cs="Times New Roman"/>
          <w:color w:val="auto"/>
          <w:sz w:val="28"/>
          <w:szCs w:val="28"/>
          <w:lang w:val="en-GB"/>
        </w:rPr>
        <w:t>, relativist, and apologis</w:t>
      </w:r>
      <w:r w:rsidR="00675E61" w:rsidRPr="006319C6">
        <w:rPr>
          <w:rFonts w:ascii="Bookman Old Style" w:hAnsi="Bookman Old Style" w:cs="Times New Roman"/>
          <w:color w:val="auto"/>
          <w:sz w:val="28"/>
          <w:szCs w:val="28"/>
          <w:lang w:val="en-GB"/>
        </w:rPr>
        <w:t>t.</w:t>
      </w:r>
      <w:r w:rsidRPr="006319C6">
        <w:rPr>
          <w:rFonts w:ascii="Bookman Old Style" w:hAnsi="Bookman Old Style" w:cs="Times New Roman"/>
          <w:color w:val="auto"/>
          <w:sz w:val="28"/>
          <w:szCs w:val="28"/>
          <w:lang w:val="en-GB"/>
        </w:rPr>
        <w:t xml:space="preserve"> </w:t>
      </w:r>
      <w:r w:rsidR="00806E59" w:rsidRPr="006319C6">
        <w:rPr>
          <w:rFonts w:ascii="Bookman Old Style" w:hAnsi="Bookman Old Style" w:cs="Times New Roman"/>
          <w:color w:val="auto"/>
          <w:sz w:val="28"/>
          <w:szCs w:val="28"/>
          <w:lang w:val="en-GB"/>
        </w:rPr>
        <w:t>“</w:t>
      </w:r>
      <w:proofErr w:type="spellStart"/>
      <w:r w:rsidRPr="006319C6">
        <w:rPr>
          <w:rFonts w:ascii="Bookman Old Style" w:hAnsi="Bookman Old Style" w:cs="Times New Roman"/>
          <w:color w:val="auto"/>
          <w:sz w:val="28"/>
          <w:szCs w:val="28"/>
          <w:lang w:val="en-GB"/>
        </w:rPr>
        <w:t>Intentionalists</w:t>
      </w:r>
      <w:proofErr w:type="spellEnd"/>
      <w:r w:rsidR="00806E59" w:rsidRPr="006319C6">
        <w:rPr>
          <w:rFonts w:ascii="Bookman Old Style" w:hAnsi="Bookman Old Style" w:cs="Times New Roman"/>
          <w:color w:val="auto"/>
          <w:sz w:val="28"/>
          <w:szCs w:val="28"/>
          <w:lang w:val="en-GB"/>
        </w:rPr>
        <w:t>”</w:t>
      </w:r>
      <w:r w:rsidRPr="006319C6">
        <w:rPr>
          <w:rFonts w:ascii="Bookman Old Style" w:hAnsi="Bookman Old Style" w:cs="Times New Roman"/>
          <w:color w:val="auto"/>
          <w:sz w:val="28"/>
          <w:szCs w:val="28"/>
          <w:lang w:val="en-GB"/>
        </w:rPr>
        <w:t xml:space="preserve"> see </w:t>
      </w:r>
      <w:proofErr w:type="spellStart"/>
      <w:r w:rsidRPr="006319C6">
        <w:rPr>
          <w:rFonts w:ascii="Bookman Old Style" w:hAnsi="Bookman Old Style" w:cs="Times New Roman"/>
          <w:color w:val="auto"/>
          <w:sz w:val="28"/>
          <w:szCs w:val="28"/>
          <w:lang w:val="en-GB"/>
        </w:rPr>
        <w:t>Milošević</w:t>
      </w:r>
      <w:proofErr w:type="spellEnd"/>
      <w:r w:rsidRPr="006319C6">
        <w:rPr>
          <w:rFonts w:ascii="Bookman Old Style" w:hAnsi="Bookman Old Style" w:cs="Times New Roman"/>
          <w:color w:val="auto"/>
          <w:sz w:val="28"/>
          <w:szCs w:val="28"/>
          <w:lang w:val="en-GB"/>
        </w:rPr>
        <w:t xml:space="preserve"> as having dictated the pace of the Yugoslav crisis through well-articulated and planned objectives that drove the other republics away. According to this view, violence was used cynically and practically with a clear purpose.</w:t>
      </w:r>
      <w:r w:rsidRPr="006319C6">
        <w:rPr>
          <w:rStyle w:val="FootnoteReference"/>
          <w:rFonts w:ascii="Bookman Old Style" w:hAnsi="Bookman Old Style"/>
          <w:color w:val="auto"/>
          <w:sz w:val="28"/>
          <w:szCs w:val="28"/>
          <w:lang w:val="en-GB"/>
        </w:rPr>
        <w:footnoteReference w:id="80"/>
      </w:r>
      <w:r w:rsidRPr="006319C6">
        <w:rPr>
          <w:rFonts w:ascii="Bookman Old Style" w:hAnsi="Bookman Old Style" w:cs="Times New Roman"/>
          <w:color w:val="auto"/>
          <w:sz w:val="28"/>
          <w:szCs w:val="28"/>
          <w:lang w:val="en-GB"/>
        </w:rPr>
        <w:t xml:space="preserve"> </w:t>
      </w:r>
    </w:p>
    <w:p w14:paraId="32ADB508" w14:textId="77777777" w:rsidR="00D435DA" w:rsidRPr="006319C6" w:rsidRDefault="00C80E96" w:rsidP="00A9165D">
      <w:pPr>
        <w:pStyle w:val="NT-Normal"/>
        <w:spacing w:before="0" w:line="240" w:lineRule="auto"/>
        <w:rPr>
          <w:rFonts w:ascii="Bookman Old Style" w:hAnsi="Bookman Old Style" w:cs="Times New Roman"/>
          <w:color w:val="auto"/>
          <w:sz w:val="28"/>
          <w:szCs w:val="28"/>
          <w:lang w:val="en-GB"/>
        </w:rPr>
      </w:pPr>
      <w:r w:rsidRPr="006319C6">
        <w:rPr>
          <w:rFonts w:ascii="Bookman Old Style" w:hAnsi="Bookman Old Style" w:cs="Times New Roman"/>
          <w:color w:val="auto"/>
          <w:sz w:val="28"/>
          <w:szCs w:val="28"/>
          <w:lang w:val="en-GB"/>
        </w:rPr>
        <w:tab/>
        <w:t xml:space="preserve">Alternative to this are authors who tend to see </w:t>
      </w:r>
      <w:proofErr w:type="spellStart"/>
      <w:r w:rsidRPr="006319C6">
        <w:rPr>
          <w:rFonts w:ascii="Bookman Old Style" w:hAnsi="Bookman Old Style" w:cs="Times New Roman"/>
          <w:color w:val="auto"/>
          <w:sz w:val="28"/>
          <w:szCs w:val="28"/>
          <w:lang w:val="en-GB"/>
        </w:rPr>
        <w:t>Milošević</w:t>
      </w:r>
      <w:proofErr w:type="spellEnd"/>
      <w:r w:rsidRPr="006319C6">
        <w:rPr>
          <w:rFonts w:ascii="Bookman Old Style" w:hAnsi="Bookman Old Style" w:cs="Times New Roman"/>
          <w:color w:val="auto"/>
          <w:sz w:val="28"/>
          <w:szCs w:val="28"/>
          <w:lang w:val="en-GB"/>
        </w:rPr>
        <w:t xml:space="preserve"> as an intelligent and ruthless politician but not a good tactician or strategist, whose politics were mostly reactive.</w:t>
      </w:r>
      <w:r w:rsidRPr="006319C6">
        <w:rPr>
          <w:rStyle w:val="FootnoteReference"/>
          <w:rFonts w:ascii="Bookman Old Style" w:hAnsi="Bookman Old Style"/>
          <w:color w:val="auto"/>
          <w:sz w:val="28"/>
          <w:szCs w:val="28"/>
          <w:lang w:val="en-GB"/>
        </w:rPr>
        <w:footnoteReference w:id="81"/>
      </w:r>
      <w:r w:rsidRPr="006319C6">
        <w:rPr>
          <w:rFonts w:ascii="Bookman Old Style" w:hAnsi="Bookman Old Style" w:cs="Times New Roman"/>
          <w:color w:val="auto"/>
          <w:sz w:val="28"/>
          <w:szCs w:val="28"/>
          <w:lang w:val="en-GB"/>
        </w:rPr>
        <w:t xml:space="preserve"> These </w:t>
      </w:r>
      <w:r w:rsidR="00806E59" w:rsidRPr="006319C6">
        <w:rPr>
          <w:rFonts w:ascii="Bookman Old Style" w:hAnsi="Bookman Old Style" w:cs="Times New Roman"/>
          <w:color w:val="auto"/>
          <w:sz w:val="28"/>
          <w:szCs w:val="28"/>
          <w:lang w:val="en-GB"/>
        </w:rPr>
        <w:t>“</w:t>
      </w:r>
      <w:r w:rsidRPr="006319C6">
        <w:rPr>
          <w:rFonts w:ascii="Bookman Old Style" w:hAnsi="Bookman Old Style" w:cs="Times New Roman"/>
          <w:color w:val="auto"/>
          <w:sz w:val="28"/>
          <w:szCs w:val="28"/>
          <w:lang w:val="en-GB"/>
        </w:rPr>
        <w:t>relativists</w:t>
      </w:r>
      <w:r w:rsidR="00806E59" w:rsidRPr="006319C6">
        <w:rPr>
          <w:rFonts w:ascii="Bookman Old Style" w:hAnsi="Bookman Old Style" w:cs="Times New Roman"/>
          <w:color w:val="auto"/>
          <w:sz w:val="28"/>
          <w:szCs w:val="28"/>
          <w:lang w:val="en-GB"/>
        </w:rPr>
        <w:t>”</w:t>
      </w:r>
      <w:r w:rsidRPr="006319C6">
        <w:rPr>
          <w:rFonts w:ascii="Bookman Old Style" w:hAnsi="Bookman Old Style" w:cs="Times New Roman"/>
          <w:color w:val="auto"/>
          <w:sz w:val="28"/>
          <w:szCs w:val="28"/>
          <w:lang w:val="en-GB"/>
        </w:rPr>
        <w:t xml:space="preserve"> see </w:t>
      </w:r>
      <w:proofErr w:type="spellStart"/>
      <w:r w:rsidRPr="006319C6">
        <w:rPr>
          <w:rFonts w:ascii="Bookman Old Style" w:hAnsi="Bookman Old Style" w:cs="Times New Roman"/>
          <w:color w:val="auto"/>
          <w:sz w:val="28"/>
          <w:szCs w:val="28"/>
          <w:lang w:val="en-GB"/>
        </w:rPr>
        <w:t>Milošević’s</w:t>
      </w:r>
      <w:proofErr w:type="spellEnd"/>
      <w:r w:rsidRPr="006319C6">
        <w:rPr>
          <w:rFonts w:ascii="Bookman Old Style" w:hAnsi="Bookman Old Style" w:cs="Times New Roman"/>
          <w:color w:val="auto"/>
          <w:sz w:val="28"/>
          <w:szCs w:val="28"/>
          <w:lang w:val="en-GB"/>
        </w:rPr>
        <w:t xml:space="preserve"> policies as responses to developments that </w:t>
      </w:r>
    </w:p>
    <w:p w14:paraId="2B5F893D" w14:textId="4D06C6C7" w:rsidR="00C80E96" w:rsidRPr="006319C6" w:rsidRDefault="00C80E96" w:rsidP="00A9165D">
      <w:pPr>
        <w:pStyle w:val="NT-Normal"/>
        <w:spacing w:before="0" w:line="240" w:lineRule="auto"/>
        <w:rPr>
          <w:rFonts w:ascii="Bookman Old Style" w:hAnsi="Bookman Old Style" w:cs="Times New Roman"/>
          <w:color w:val="auto"/>
          <w:sz w:val="28"/>
          <w:szCs w:val="28"/>
          <w:lang w:val="en-GB"/>
        </w:rPr>
      </w:pPr>
      <w:proofErr w:type="gramStart"/>
      <w:r w:rsidRPr="006319C6">
        <w:rPr>
          <w:rFonts w:ascii="Bookman Old Style" w:hAnsi="Bookman Old Style" w:cs="Times New Roman"/>
          <w:color w:val="auto"/>
          <w:sz w:val="28"/>
          <w:szCs w:val="28"/>
          <w:lang w:val="en-GB"/>
        </w:rPr>
        <w:t>were</w:t>
      </w:r>
      <w:proofErr w:type="gramEnd"/>
      <w:r w:rsidRPr="006319C6">
        <w:rPr>
          <w:rFonts w:ascii="Bookman Old Style" w:hAnsi="Bookman Old Style" w:cs="Times New Roman"/>
          <w:color w:val="auto"/>
          <w:sz w:val="28"/>
          <w:szCs w:val="28"/>
          <w:lang w:val="en-GB"/>
        </w:rPr>
        <w:t xml:space="preserve"> driven by l</w:t>
      </w:r>
      <w:r w:rsidR="007246AA" w:rsidRPr="006319C6">
        <w:rPr>
          <w:rFonts w:ascii="Bookman Old Style" w:hAnsi="Bookman Old Style" w:cs="Times New Roman"/>
          <w:color w:val="auto"/>
          <w:sz w:val="28"/>
          <w:szCs w:val="28"/>
          <w:lang w:val="en-GB"/>
        </w:rPr>
        <w:t xml:space="preserve">eaders of Slovenia, Croatia, </w:t>
      </w:r>
      <w:r w:rsidR="007246AA" w:rsidRPr="006319C6">
        <w:rPr>
          <w:rFonts w:ascii="Bookman Old Style" w:hAnsi="Bookman Old Style" w:cs="Times New Roman"/>
          <w:sz w:val="28"/>
          <w:szCs w:val="28"/>
        </w:rPr>
        <w:t xml:space="preserve">Bosnia and </w:t>
      </w:r>
      <w:proofErr w:type="spellStart"/>
      <w:r w:rsidR="007246AA" w:rsidRPr="006319C6">
        <w:rPr>
          <w:rFonts w:ascii="Bookman Old Style" w:hAnsi="Bookman Old Style" w:cs="Times New Roman"/>
          <w:sz w:val="28"/>
          <w:szCs w:val="28"/>
        </w:rPr>
        <w:t>Herzogovina</w:t>
      </w:r>
      <w:proofErr w:type="spellEnd"/>
      <w:r w:rsidRPr="006319C6">
        <w:rPr>
          <w:rFonts w:ascii="Bookman Old Style" w:hAnsi="Bookman Old Style" w:cs="Times New Roman"/>
          <w:color w:val="auto"/>
          <w:sz w:val="28"/>
          <w:szCs w:val="28"/>
          <w:lang w:val="en-GB"/>
        </w:rPr>
        <w:t xml:space="preserve">, and Kosovo, and by the international community. From this standpoint, </w:t>
      </w:r>
      <w:proofErr w:type="spellStart"/>
      <w:r w:rsidRPr="006319C6">
        <w:rPr>
          <w:rFonts w:ascii="Bookman Old Style" w:hAnsi="Bookman Old Style" w:cs="Times New Roman"/>
          <w:color w:val="auto"/>
          <w:sz w:val="28"/>
          <w:szCs w:val="28"/>
          <w:lang w:val="en-GB"/>
        </w:rPr>
        <w:t>Milošević</w:t>
      </w:r>
      <w:proofErr w:type="spellEnd"/>
      <w:r w:rsidRPr="006319C6">
        <w:rPr>
          <w:rFonts w:ascii="Bookman Old Style" w:hAnsi="Bookman Old Style" w:cs="Times New Roman"/>
          <w:color w:val="auto"/>
          <w:sz w:val="28"/>
          <w:szCs w:val="28"/>
          <w:lang w:val="en-GB"/>
        </w:rPr>
        <w:t xml:space="preserve"> genuinely </w:t>
      </w:r>
      <w:r w:rsidRPr="006319C6">
        <w:rPr>
          <w:rFonts w:ascii="Bookman Old Style" w:hAnsi="Bookman Old Style" w:cs="Times New Roman"/>
          <w:color w:val="auto"/>
          <w:sz w:val="28"/>
          <w:szCs w:val="28"/>
          <w:lang w:val="en-GB"/>
        </w:rPr>
        <w:lastRenderedPageBreak/>
        <w:t>wanted to preserve Yugoslavia but did not succeed.</w:t>
      </w:r>
      <w:r w:rsidRPr="006319C6">
        <w:rPr>
          <w:rStyle w:val="FootnoteReference"/>
          <w:rFonts w:ascii="Bookman Old Style" w:hAnsi="Bookman Old Style"/>
          <w:color w:val="auto"/>
          <w:sz w:val="28"/>
          <w:szCs w:val="28"/>
          <w:lang w:val="en-GB"/>
        </w:rPr>
        <w:footnoteReference w:id="82"/>
      </w:r>
      <w:r w:rsidRPr="006319C6">
        <w:rPr>
          <w:rFonts w:ascii="Bookman Old Style" w:hAnsi="Bookman Old Style" w:cs="Times New Roman"/>
          <w:color w:val="auto"/>
          <w:sz w:val="28"/>
          <w:szCs w:val="28"/>
          <w:lang w:val="en-GB"/>
        </w:rPr>
        <w:t xml:space="preserve"> Relativists per</w:t>
      </w:r>
      <w:r w:rsidR="007246AA" w:rsidRPr="006319C6">
        <w:rPr>
          <w:rFonts w:ascii="Bookman Old Style" w:hAnsi="Bookman Old Style" w:cs="Times New Roman"/>
          <w:color w:val="auto"/>
          <w:sz w:val="28"/>
          <w:szCs w:val="28"/>
          <w:lang w:val="en-GB"/>
        </w:rPr>
        <w:t xml:space="preserve">ceive </w:t>
      </w:r>
      <w:proofErr w:type="spellStart"/>
      <w:r w:rsidR="007246AA" w:rsidRPr="006319C6">
        <w:rPr>
          <w:rFonts w:ascii="Bookman Old Style" w:hAnsi="Bookman Old Style" w:cs="Times New Roman"/>
          <w:color w:val="auto"/>
          <w:sz w:val="28"/>
          <w:szCs w:val="28"/>
          <w:lang w:val="en-GB"/>
        </w:rPr>
        <w:t>Milošević</w:t>
      </w:r>
      <w:proofErr w:type="spellEnd"/>
      <w:r w:rsidR="007246AA" w:rsidRPr="006319C6">
        <w:rPr>
          <w:rFonts w:ascii="Bookman Old Style" w:hAnsi="Bookman Old Style" w:cs="Times New Roman"/>
          <w:color w:val="auto"/>
          <w:sz w:val="28"/>
          <w:szCs w:val="28"/>
          <w:lang w:val="en-GB"/>
        </w:rPr>
        <w:t xml:space="preserve"> as an </w:t>
      </w:r>
      <w:r w:rsidRPr="006319C6">
        <w:rPr>
          <w:rFonts w:ascii="Bookman Old Style" w:hAnsi="Bookman Old Style" w:cs="Times New Roman"/>
          <w:color w:val="auto"/>
          <w:sz w:val="28"/>
          <w:szCs w:val="28"/>
          <w:lang w:val="en-GB"/>
        </w:rPr>
        <w:t>a</w:t>
      </w:r>
      <w:r w:rsidR="007246AA" w:rsidRPr="006319C6">
        <w:rPr>
          <w:rFonts w:ascii="Bookman Old Style" w:hAnsi="Bookman Old Style" w:cs="Times New Roman"/>
          <w:color w:val="auto"/>
          <w:sz w:val="28"/>
          <w:szCs w:val="28"/>
          <w:lang w:val="en-GB"/>
        </w:rPr>
        <w:t xml:space="preserve">mbitious politician who </w:t>
      </w:r>
      <w:proofErr w:type="spellStart"/>
      <w:r w:rsidR="007246AA" w:rsidRPr="006319C6">
        <w:rPr>
          <w:rFonts w:ascii="Bookman Old Style" w:hAnsi="Bookman Old Style" w:cs="Times New Roman"/>
          <w:color w:val="auto"/>
          <w:sz w:val="28"/>
          <w:szCs w:val="28"/>
          <w:lang w:val="en-GB"/>
        </w:rPr>
        <w:t>endeavo</w:t>
      </w:r>
      <w:r w:rsidRPr="006319C6">
        <w:rPr>
          <w:rFonts w:ascii="Bookman Old Style" w:hAnsi="Bookman Old Style" w:cs="Times New Roman"/>
          <w:color w:val="auto"/>
          <w:sz w:val="28"/>
          <w:szCs w:val="28"/>
          <w:lang w:val="en-GB"/>
        </w:rPr>
        <w:t>red</w:t>
      </w:r>
      <w:proofErr w:type="spellEnd"/>
      <w:r w:rsidRPr="006319C6">
        <w:rPr>
          <w:rFonts w:ascii="Bookman Old Style" w:hAnsi="Bookman Old Style" w:cs="Times New Roman"/>
          <w:color w:val="auto"/>
          <w:sz w:val="28"/>
          <w:szCs w:val="28"/>
          <w:lang w:val="en-GB"/>
        </w:rPr>
        <w:t xml:space="preserve"> to achieve more than he was capable of; and his rule has been cast by authors in this camp as a sequence of mistakes and failures – at the national and international levels.</w:t>
      </w:r>
      <w:r w:rsidRPr="006319C6">
        <w:rPr>
          <w:rStyle w:val="FootnoteReference"/>
          <w:rFonts w:ascii="Bookman Old Style" w:hAnsi="Bookman Old Style"/>
          <w:color w:val="auto"/>
          <w:sz w:val="28"/>
          <w:szCs w:val="28"/>
          <w:lang w:val="en-GB"/>
        </w:rPr>
        <w:footnoteReference w:id="83"/>
      </w:r>
      <w:r w:rsidRPr="006319C6">
        <w:rPr>
          <w:rFonts w:ascii="Bookman Old Style" w:hAnsi="Bookman Old Style" w:cs="Times New Roman"/>
          <w:color w:val="auto"/>
          <w:sz w:val="28"/>
          <w:szCs w:val="28"/>
          <w:lang w:val="en-GB"/>
        </w:rPr>
        <w:t xml:space="preserve"> The violence that accompanied the disintegration of Yugoslavia is thus explained as resulting from a complicated interplay of many factors, leading to an escalation of the crisis that was beyond the control of </w:t>
      </w:r>
      <w:proofErr w:type="spellStart"/>
      <w:r w:rsidRPr="006319C6">
        <w:rPr>
          <w:rFonts w:ascii="Bookman Old Style" w:hAnsi="Bookman Old Style" w:cs="Times New Roman"/>
          <w:color w:val="auto"/>
          <w:sz w:val="28"/>
          <w:szCs w:val="28"/>
          <w:lang w:val="en-GB"/>
        </w:rPr>
        <w:t>Milošević</w:t>
      </w:r>
      <w:proofErr w:type="spellEnd"/>
      <w:r w:rsidRPr="006319C6">
        <w:rPr>
          <w:rFonts w:ascii="Bookman Old Style" w:hAnsi="Bookman Old Style" w:cs="Times New Roman"/>
          <w:color w:val="auto"/>
          <w:sz w:val="28"/>
          <w:szCs w:val="28"/>
          <w:lang w:val="en-GB"/>
        </w:rPr>
        <w:t xml:space="preserve"> alone.</w:t>
      </w:r>
    </w:p>
    <w:p w14:paraId="0B20A6FB" w14:textId="680F7062" w:rsidR="00C80E96" w:rsidRPr="006319C6" w:rsidRDefault="00C80E96"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r>
      <w:r w:rsidR="00806E59" w:rsidRPr="006319C6">
        <w:rPr>
          <w:rFonts w:ascii="Bookman Old Style" w:hAnsi="Bookman Old Style"/>
          <w:sz w:val="28"/>
          <w:szCs w:val="28"/>
        </w:rPr>
        <w:t>“</w:t>
      </w:r>
      <w:r w:rsidRPr="006319C6">
        <w:rPr>
          <w:rFonts w:ascii="Bookman Old Style" w:hAnsi="Bookman Old Style"/>
          <w:sz w:val="28"/>
          <w:szCs w:val="28"/>
        </w:rPr>
        <w:t>Apologists</w:t>
      </w:r>
      <w:r w:rsidR="00806E59" w:rsidRPr="006319C6">
        <w:rPr>
          <w:rFonts w:ascii="Bookman Old Style" w:hAnsi="Bookman Old Style"/>
          <w:sz w:val="28"/>
          <w:szCs w:val="28"/>
        </w:rPr>
        <w:t>”</w:t>
      </w:r>
      <w:r w:rsidRPr="006319C6">
        <w:rPr>
          <w:rFonts w:ascii="Bookman Old Style" w:hAnsi="Bookman Old Style"/>
          <w:sz w:val="28"/>
          <w:szCs w:val="28"/>
        </w:rPr>
        <w:t xml:space="preserve"> share the opinion held by relativists regarding the role of the republics that sought independence and of the international community in the disintegration of Yugoslavia. Yet they not only see his goal to preserve Yugoslavia as well-intentioned but also defend his politics and decision-making in general.</w:t>
      </w:r>
      <w:r w:rsidRPr="006319C6">
        <w:rPr>
          <w:rStyle w:val="FootnoteReference"/>
          <w:rFonts w:ascii="Bookman Old Style" w:eastAsia="MS ??" w:hAnsi="Bookman Old Style"/>
          <w:sz w:val="28"/>
          <w:szCs w:val="28"/>
        </w:rPr>
        <w:footnoteReference w:id="84"/>
      </w:r>
      <w:r w:rsidRPr="006319C6">
        <w:rPr>
          <w:rFonts w:ascii="Bookman Old Style" w:hAnsi="Bookman Old Style"/>
          <w:sz w:val="28"/>
          <w:szCs w:val="28"/>
        </w:rPr>
        <w:t xml:space="preserve"> They downplay Milošević’s calculating and ruthless </w:t>
      </w:r>
      <w:r w:rsidR="003C0473" w:rsidRPr="006319C6">
        <w:rPr>
          <w:rFonts w:ascii="Bookman Old Style" w:hAnsi="Bookman Old Style"/>
          <w:sz w:val="28"/>
          <w:szCs w:val="28"/>
        </w:rPr>
        <w:t>side to recast him as a</w:t>
      </w:r>
      <w:r w:rsidRPr="006319C6">
        <w:rPr>
          <w:rFonts w:ascii="Bookman Old Style" w:hAnsi="Bookman Old Style"/>
          <w:sz w:val="28"/>
          <w:szCs w:val="28"/>
        </w:rPr>
        <w:t xml:space="preserve"> clumsy, wayward, and inconsistent authoritarian leader who merely failed to deliver on promises he made.</w:t>
      </w:r>
      <w:r w:rsidRPr="006319C6">
        <w:rPr>
          <w:rStyle w:val="FootnoteReference"/>
          <w:rFonts w:ascii="Bookman Old Style" w:eastAsia="MS ??" w:hAnsi="Bookman Old Style"/>
          <w:sz w:val="28"/>
          <w:szCs w:val="28"/>
        </w:rPr>
        <w:footnoteReference w:id="85"/>
      </w:r>
    </w:p>
    <w:p w14:paraId="4F926C78" w14:textId="77777777" w:rsidR="005D1D2A" w:rsidRPr="006319C6" w:rsidRDefault="00C80E96" w:rsidP="005D1D2A">
      <w:pPr>
        <w:pStyle w:val="Paragraph"/>
        <w:spacing w:before="0" w:after="0" w:line="240" w:lineRule="auto"/>
        <w:rPr>
          <w:rFonts w:ascii="Bookman Old Style" w:hAnsi="Bookman Old Style"/>
          <w:sz w:val="28"/>
          <w:szCs w:val="28"/>
        </w:rPr>
      </w:pPr>
      <w:r w:rsidRPr="006319C6">
        <w:rPr>
          <w:rFonts w:ascii="Bookman Old Style" w:hAnsi="Bookman Old Style"/>
          <w:sz w:val="28"/>
          <w:szCs w:val="28"/>
          <w:lang w:val="en-GB"/>
        </w:rPr>
        <w:tab/>
        <w:t>With Milo</w:t>
      </w:r>
      <w:r w:rsidRPr="006319C6">
        <w:rPr>
          <w:rFonts w:ascii="Bookman Old Style" w:hAnsi="Bookman Old Style"/>
          <w:sz w:val="28"/>
          <w:szCs w:val="28"/>
          <w:lang w:val="hr-HR"/>
        </w:rPr>
        <w:t>š</w:t>
      </w:r>
      <w:proofErr w:type="spellStart"/>
      <w:r w:rsidRPr="006319C6">
        <w:rPr>
          <w:rFonts w:ascii="Bookman Old Style" w:hAnsi="Bookman Old Style"/>
          <w:sz w:val="28"/>
          <w:szCs w:val="28"/>
          <w:lang w:val="en-GB"/>
        </w:rPr>
        <w:t>ević</w:t>
      </w:r>
      <w:proofErr w:type="spellEnd"/>
      <w:r w:rsidRPr="006319C6">
        <w:rPr>
          <w:rFonts w:ascii="Bookman Old Style" w:hAnsi="Bookman Old Style"/>
          <w:sz w:val="28"/>
          <w:szCs w:val="28"/>
          <w:lang w:val="en-GB"/>
        </w:rPr>
        <w:t xml:space="preserve"> dead and his trial archive left behind to be studied, ther</w:t>
      </w:r>
      <w:r w:rsidR="003A5E82" w:rsidRPr="006319C6">
        <w:rPr>
          <w:rFonts w:ascii="Bookman Old Style" w:hAnsi="Bookman Old Style"/>
          <w:sz w:val="28"/>
          <w:szCs w:val="28"/>
          <w:lang w:val="en-GB"/>
        </w:rPr>
        <w:t>e is no doubt that most of the p</w:t>
      </w:r>
      <w:r w:rsidRPr="006319C6">
        <w:rPr>
          <w:rFonts w:ascii="Bookman Old Style" w:hAnsi="Bookman Old Style"/>
          <w:sz w:val="28"/>
          <w:szCs w:val="28"/>
          <w:lang w:val="en-GB"/>
        </w:rPr>
        <w:t>rosec</w:t>
      </w:r>
      <w:r w:rsidR="008B20D7" w:rsidRPr="006319C6">
        <w:rPr>
          <w:rFonts w:ascii="Bookman Old Style" w:hAnsi="Bookman Old Style"/>
          <w:sz w:val="28"/>
          <w:szCs w:val="28"/>
          <w:lang w:val="en-GB"/>
        </w:rPr>
        <w:t>u</w:t>
      </w:r>
      <w:r w:rsidR="003A5E82" w:rsidRPr="006319C6">
        <w:rPr>
          <w:rFonts w:ascii="Bookman Old Style" w:hAnsi="Bookman Old Style"/>
          <w:sz w:val="28"/>
          <w:szCs w:val="28"/>
          <w:lang w:val="en-GB"/>
        </w:rPr>
        <w:t>tion evidence would support, as a rule,</w:t>
      </w:r>
      <w:r w:rsidR="008B20D7" w:rsidRPr="006319C6">
        <w:rPr>
          <w:rFonts w:ascii="Bookman Old Style" w:hAnsi="Bookman Old Style"/>
          <w:sz w:val="28"/>
          <w:szCs w:val="28"/>
          <w:lang w:val="en-GB"/>
        </w:rPr>
        <w:t xml:space="preserve"> </w:t>
      </w:r>
      <w:r w:rsidR="00675E61" w:rsidRPr="006319C6">
        <w:rPr>
          <w:rFonts w:ascii="Bookman Old Style" w:hAnsi="Bookman Old Style"/>
          <w:sz w:val="28"/>
          <w:szCs w:val="28"/>
          <w:lang w:val="en-GB"/>
        </w:rPr>
        <w:t xml:space="preserve">an </w:t>
      </w:r>
      <w:r w:rsidRPr="006319C6">
        <w:rPr>
          <w:rFonts w:ascii="Bookman Old Style" w:hAnsi="Bookman Old Style"/>
          <w:sz w:val="28"/>
          <w:szCs w:val="28"/>
          <w:lang w:val="en-GB"/>
        </w:rPr>
        <w:t>“</w:t>
      </w:r>
      <w:proofErr w:type="spellStart"/>
      <w:r w:rsidR="00806E59" w:rsidRPr="006319C6">
        <w:rPr>
          <w:rFonts w:ascii="Bookman Old Style" w:hAnsi="Bookman Old Style"/>
          <w:sz w:val="28"/>
          <w:szCs w:val="28"/>
          <w:lang w:val="en-GB"/>
        </w:rPr>
        <w:t>intentionalist</w:t>
      </w:r>
      <w:proofErr w:type="spellEnd"/>
      <w:r w:rsidR="00806E59" w:rsidRPr="006319C6">
        <w:rPr>
          <w:rFonts w:ascii="Bookman Old Style" w:hAnsi="Bookman Old Style"/>
          <w:sz w:val="28"/>
          <w:szCs w:val="28"/>
          <w:lang w:val="en-GB"/>
        </w:rPr>
        <w:t xml:space="preserve">” </w:t>
      </w:r>
      <w:r w:rsidRPr="006319C6">
        <w:rPr>
          <w:rFonts w:ascii="Bookman Old Style" w:hAnsi="Bookman Old Style"/>
          <w:sz w:val="28"/>
          <w:szCs w:val="28"/>
          <w:lang w:val="en-GB"/>
        </w:rPr>
        <w:t xml:space="preserve">interpretation of the history and that </w:t>
      </w:r>
      <w:r w:rsidR="00675E61" w:rsidRPr="006319C6">
        <w:rPr>
          <w:rFonts w:ascii="Bookman Old Style" w:hAnsi="Bookman Old Style"/>
          <w:sz w:val="28"/>
          <w:szCs w:val="28"/>
          <w:lang w:val="en-GB"/>
        </w:rPr>
        <w:t xml:space="preserve">evidence </w:t>
      </w:r>
      <w:r w:rsidRPr="006319C6">
        <w:rPr>
          <w:rFonts w:ascii="Bookman Old Style" w:hAnsi="Bookman Old Style"/>
          <w:sz w:val="28"/>
          <w:szCs w:val="28"/>
          <w:lang w:val="en-GB"/>
        </w:rPr>
        <w:t xml:space="preserve">of </w:t>
      </w:r>
      <w:r w:rsidR="00675E61" w:rsidRPr="006319C6">
        <w:rPr>
          <w:rFonts w:ascii="Bookman Old Style" w:hAnsi="Bookman Old Style"/>
          <w:sz w:val="28"/>
          <w:szCs w:val="28"/>
          <w:lang w:val="en-GB"/>
        </w:rPr>
        <w:t xml:space="preserve">the </w:t>
      </w:r>
      <w:proofErr w:type="spellStart"/>
      <w:r w:rsidR="003A5E82" w:rsidRPr="006319C6">
        <w:rPr>
          <w:rFonts w:ascii="Bookman Old Style" w:hAnsi="Bookman Old Style"/>
          <w:sz w:val="28"/>
          <w:szCs w:val="28"/>
          <w:lang w:val="en-GB"/>
        </w:rPr>
        <w:t>defens</w:t>
      </w:r>
      <w:r w:rsidRPr="006319C6">
        <w:rPr>
          <w:rFonts w:ascii="Bookman Old Style" w:hAnsi="Bookman Old Style"/>
          <w:sz w:val="28"/>
          <w:szCs w:val="28"/>
          <w:lang w:val="en-GB"/>
        </w:rPr>
        <w:t>e</w:t>
      </w:r>
      <w:proofErr w:type="spellEnd"/>
      <w:r w:rsidR="003A5E82" w:rsidRPr="006319C6">
        <w:rPr>
          <w:rFonts w:ascii="Bookman Old Style" w:hAnsi="Bookman Old Style"/>
          <w:sz w:val="28"/>
          <w:szCs w:val="28"/>
          <w:lang w:val="en-GB"/>
        </w:rPr>
        <w:t>, an</w:t>
      </w:r>
      <w:r w:rsidRPr="006319C6">
        <w:rPr>
          <w:rFonts w:ascii="Bookman Old Style" w:hAnsi="Bookman Old Style"/>
          <w:sz w:val="28"/>
          <w:szCs w:val="28"/>
          <w:lang w:val="en-GB"/>
        </w:rPr>
        <w:t xml:space="preserve"> </w:t>
      </w:r>
      <w:r w:rsidR="00806E59" w:rsidRPr="006319C6">
        <w:rPr>
          <w:rFonts w:ascii="Bookman Old Style" w:hAnsi="Bookman Old Style"/>
          <w:sz w:val="28"/>
          <w:szCs w:val="28"/>
          <w:lang w:val="en-GB"/>
        </w:rPr>
        <w:t>“</w:t>
      </w:r>
      <w:r w:rsidRPr="006319C6">
        <w:rPr>
          <w:rFonts w:ascii="Bookman Old Style" w:hAnsi="Bookman Old Style"/>
          <w:sz w:val="28"/>
          <w:szCs w:val="28"/>
          <w:lang w:val="en-GB"/>
        </w:rPr>
        <w:t>apologetic</w:t>
      </w:r>
      <w:r w:rsidR="00806E59" w:rsidRPr="006319C6">
        <w:rPr>
          <w:rFonts w:ascii="Bookman Old Style" w:hAnsi="Bookman Old Style"/>
          <w:sz w:val="28"/>
          <w:szCs w:val="28"/>
          <w:lang w:val="en-GB"/>
        </w:rPr>
        <w:t>”</w:t>
      </w:r>
      <w:r w:rsidRPr="006319C6">
        <w:rPr>
          <w:rFonts w:ascii="Bookman Old Style" w:hAnsi="Bookman Old Style"/>
          <w:sz w:val="28"/>
          <w:szCs w:val="28"/>
          <w:lang w:val="en-GB"/>
        </w:rPr>
        <w:t xml:space="preserve"> or </w:t>
      </w:r>
      <w:r w:rsidR="00806E59" w:rsidRPr="006319C6">
        <w:rPr>
          <w:rFonts w:ascii="Bookman Old Style" w:hAnsi="Bookman Old Style"/>
          <w:sz w:val="28"/>
          <w:szCs w:val="28"/>
          <w:lang w:val="en-GB"/>
        </w:rPr>
        <w:t>“</w:t>
      </w:r>
      <w:r w:rsidRPr="006319C6">
        <w:rPr>
          <w:rFonts w:ascii="Bookman Old Style" w:hAnsi="Bookman Old Style"/>
          <w:sz w:val="28"/>
          <w:szCs w:val="28"/>
          <w:lang w:val="en-GB"/>
        </w:rPr>
        <w:t>relativist</w:t>
      </w:r>
      <w:r w:rsidR="00806E59" w:rsidRPr="006319C6">
        <w:rPr>
          <w:rFonts w:ascii="Bookman Old Style" w:hAnsi="Bookman Old Style"/>
          <w:sz w:val="28"/>
          <w:szCs w:val="28"/>
          <w:lang w:val="en-GB"/>
        </w:rPr>
        <w:t>”</w:t>
      </w:r>
      <w:r w:rsidR="003A5E82" w:rsidRPr="006319C6">
        <w:rPr>
          <w:rFonts w:ascii="Bookman Old Style" w:hAnsi="Bookman Old Style"/>
          <w:sz w:val="28"/>
          <w:szCs w:val="28"/>
          <w:lang w:val="en-GB"/>
        </w:rPr>
        <w:t xml:space="preserve"> interpretation</w:t>
      </w:r>
      <w:r w:rsidR="005D1D2A" w:rsidRPr="006319C6">
        <w:rPr>
          <w:rFonts w:ascii="Bookman Old Style" w:hAnsi="Bookman Old Style"/>
          <w:sz w:val="28"/>
          <w:szCs w:val="28"/>
          <w:lang w:val="en-GB"/>
        </w:rPr>
        <w:t>. It may be</w:t>
      </w:r>
      <w:r w:rsidRPr="006319C6">
        <w:rPr>
          <w:rFonts w:ascii="Bookman Old Style" w:hAnsi="Bookman Old Style"/>
          <w:sz w:val="28"/>
          <w:szCs w:val="28"/>
          <w:lang w:val="en-GB"/>
        </w:rPr>
        <w:t xml:space="preserve"> unrealistic to expect that mass atrocities trials could ever produce one uncontested historical narrative and one shared collective memory. In reality, </w:t>
      </w:r>
      <w:r w:rsidR="00CE64F6" w:rsidRPr="006319C6">
        <w:rPr>
          <w:rFonts w:ascii="Bookman Old Style" w:hAnsi="Bookman Old Style"/>
          <w:sz w:val="28"/>
          <w:szCs w:val="28"/>
          <w:lang w:val="en-GB"/>
        </w:rPr>
        <w:t>a</w:t>
      </w:r>
      <w:r w:rsidRPr="006319C6">
        <w:rPr>
          <w:rFonts w:ascii="Bookman Old Style" w:hAnsi="Bookman Old Style"/>
          <w:sz w:val="28"/>
          <w:szCs w:val="28"/>
          <w:lang w:val="en-GB"/>
        </w:rPr>
        <w:t xml:space="preserve"> plurality of narratives seems more probable, more democratic</w:t>
      </w:r>
      <w:r w:rsidR="005D1D2A" w:rsidRPr="006319C6">
        <w:rPr>
          <w:rFonts w:ascii="Bookman Old Style" w:hAnsi="Bookman Old Style"/>
          <w:sz w:val="28"/>
          <w:szCs w:val="28"/>
          <w:lang w:val="en-GB"/>
        </w:rPr>
        <w:t>, and maybe</w:t>
      </w:r>
      <w:r w:rsidRPr="006319C6">
        <w:rPr>
          <w:rFonts w:ascii="Bookman Old Style" w:hAnsi="Bookman Old Style"/>
          <w:sz w:val="28"/>
          <w:szCs w:val="28"/>
          <w:lang w:val="en-GB"/>
        </w:rPr>
        <w:t xml:space="preserve"> more desirable than one overall narrative. </w:t>
      </w:r>
      <w:r w:rsidRPr="006319C6">
        <w:rPr>
          <w:rFonts w:ascii="Bookman Old Style" w:hAnsi="Bookman Old Style"/>
          <w:sz w:val="28"/>
          <w:szCs w:val="28"/>
        </w:rPr>
        <w:t>Over the course of time, the historical narrative most certainly will develop and change with the emergence of new sources and with new theoretical ins</w:t>
      </w:r>
      <w:r w:rsidR="005D1D2A" w:rsidRPr="006319C6">
        <w:rPr>
          <w:rFonts w:ascii="Bookman Old Style" w:hAnsi="Bookman Old Style"/>
          <w:sz w:val="28"/>
          <w:szCs w:val="28"/>
        </w:rPr>
        <w:t xml:space="preserve">ights long after a trial ends. </w:t>
      </w:r>
    </w:p>
    <w:p w14:paraId="2FB02BDC" w14:textId="77777777" w:rsidR="005D1D2A" w:rsidRPr="006319C6" w:rsidRDefault="005D1D2A" w:rsidP="005D1D2A">
      <w:pPr>
        <w:pStyle w:val="Paragraph"/>
        <w:spacing w:before="0" w:after="0" w:line="240" w:lineRule="auto"/>
        <w:rPr>
          <w:rFonts w:ascii="Bookman Old Style" w:hAnsi="Bookman Old Style"/>
          <w:sz w:val="28"/>
          <w:szCs w:val="28"/>
        </w:rPr>
      </w:pPr>
    </w:p>
    <w:p w14:paraId="4AB75560" w14:textId="569BE351" w:rsidR="00E3418B" w:rsidRPr="006319C6" w:rsidRDefault="00D435DA" w:rsidP="005D1D2A">
      <w:pPr>
        <w:pStyle w:val="Paragraph"/>
        <w:spacing w:before="0" w:after="0" w:line="240" w:lineRule="auto"/>
        <w:jc w:val="center"/>
        <w:rPr>
          <w:rFonts w:ascii="Bookman Old Style" w:hAnsi="Bookman Old Style"/>
          <w:sz w:val="28"/>
          <w:szCs w:val="28"/>
        </w:rPr>
      </w:pPr>
      <w:r w:rsidRPr="006319C6">
        <w:rPr>
          <w:rFonts w:ascii="Bookman Old Style" w:hAnsi="Bookman Old Style"/>
          <w:sz w:val="28"/>
          <w:szCs w:val="28"/>
        </w:rPr>
        <w:t>CONCLUSIONS</w:t>
      </w:r>
    </w:p>
    <w:p w14:paraId="488E2B92" w14:textId="77777777" w:rsidR="005D1D2A" w:rsidRPr="006319C6" w:rsidRDefault="00BE3B28" w:rsidP="00A9165D">
      <w:pPr>
        <w:pStyle w:val="NT-Normal"/>
        <w:spacing w:before="0" w:line="240" w:lineRule="auto"/>
        <w:rPr>
          <w:rFonts w:ascii="Bookman Old Style" w:hAnsi="Bookman Old Style" w:cs="Times New Roman"/>
          <w:sz w:val="28"/>
          <w:szCs w:val="28"/>
        </w:rPr>
      </w:pPr>
      <w:r w:rsidRPr="006319C6">
        <w:rPr>
          <w:rFonts w:ascii="Bookman Old Style" w:hAnsi="Bookman Old Style" w:cs="Times New Roman"/>
          <w:sz w:val="28"/>
          <w:szCs w:val="28"/>
        </w:rPr>
        <w:lastRenderedPageBreak/>
        <w:tab/>
      </w:r>
    </w:p>
    <w:p w14:paraId="356C7B9C" w14:textId="77777777" w:rsidR="00D435DA" w:rsidRPr="006319C6" w:rsidRDefault="005D1D2A" w:rsidP="00A9165D">
      <w:pPr>
        <w:pStyle w:val="NT-Normal"/>
        <w:spacing w:before="0" w:line="240" w:lineRule="auto"/>
        <w:rPr>
          <w:rFonts w:ascii="Bookman Old Style" w:hAnsi="Bookman Old Style" w:cs="Times New Roman"/>
          <w:sz w:val="28"/>
          <w:szCs w:val="28"/>
        </w:rPr>
      </w:pPr>
      <w:r w:rsidRPr="006319C6">
        <w:rPr>
          <w:rFonts w:ascii="Bookman Old Style" w:hAnsi="Bookman Old Style" w:cs="Times New Roman"/>
          <w:sz w:val="28"/>
          <w:szCs w:val="28"/>
        </w:rPr>
        <w:tab/>
      </w:r>
      <w:r w:rsidR="000D6BAA" w:rsidRPr="006319C6">
        <w:rPr>
          <w:rFonts w:ascii="Bookman Old Style" w:hAnsi="Bookman Old Style" w:cs="Times New Roman"/>
          <w:sz w:val="28"/>
          <w:szCs w:val="28"/>
        </w:rPr>
        <w:t>M</w:t>
      </w:r>
      <w:r w:rsidR="003402BD" w:rsidRPr="006319C6">
        <w:rPr>
          <w:rFonts w:ascii="Bookman Old Style" w:hAnsi="Bookman Old Style" w:cs="Times New Roman"/>
          <w:sz w:val="28"/>
          <w:szCs w:val="28"/>
        </w:rPr>
        <w:t>ass atrocities trials</w:t>
      </w:r>
      <w:r w:rsidR="0047146F" w:rsidRPr="006319C6">
        <w:rPr>
          <w:rFonts w:ascii="Bookman Old Style" w:hAnsi="Bookman Old Style" w:cs="Times New Roman"/>
          <w:sz w:val="28"/>
          <w:szCs w:val="28"/>
        </w:rPr>
        <w:t xml:space="preserve"> </w:t>
      </w:r>
      <w:r w:rsidRPr="006319C6">
        <w:rPr>
          <w:rFonts w:ascii="Bookman Old Style" w:hAnsi="Bookman Old Style" w:cs="Times New Roman"/>
          <w:sz w:val="28"/>
          <w:szCs w:val="28"/>
          <w:lang w:val="nl-NL"/>
        </w:rPr>
        <w:t>– just as</w:t>
      </w:r>
      <w:r w:rsidR="003402BD" w:rsidRPr="006319C6">
        <w:rPr>
          <w:rFonts w:ascii="Bookman Old Style" w:hAnsi="Bookman Old Style" w:cs="Times New Roman"/>
          <w:sz w:val="28"/>
          <w:szCs w:val="28"/>
        </w:rPr>
        <w:t xml:space="preserve"> any other </w:t>
      </w:r>
      <w:r w:rsidR="0047146F" w:rsidRPr="006319C6">
        <w:rPr>
          <w:rFonts w:ascii="Bookman Old Style" w:hAnsi="Bookman Old Style" w:cs="Times New Roman"/>
          <w:sz w:val="28"/>
          <w:szCs w:val="28"/>
        </w:rPr>
        <w:t xml:space="preserve">criminal </w:t>
      </w:r>
      <w:r w:rsidR="003402BD" w:rsidRPr="006319C6">
        <w:rPr>
          <w:rFonts w:ascii="Bookman Old Style" w:hAnsi="Bookman Old Style" w:cs="Times New Roman"/>
          <w:sz w:val="28"/>
          <w:szCs w:val="28"/>
        </w:rPr>
        <w:t xml:space="preserve">trials </w:t>
      </w:r>
      <w:r w:rsidRPr="006319C6">
        <w:rPr>
          <w:rFonts w:ascii="Bookman Old Style" w:hAnsi="Bookman Old Style" w:cs="Times New Roman"/>
          <w:sz w:val="28"/>
          <w:szCs w:val="28"/>
        </w:rPr>
        <w:t>– a</w:t>
      </w:r>
      <w:r w:rsidR="003402BD" w:rsidRPr="006319C6">
        <w:rPr>
          <w:rFonts w:ascii="Bookman Old Style" w:hAnsi="Bookman Old Style" w:cs="Times New Roman"/>
          <w:sz w:val="28"/>
          <w:szCs w:val="28"/>
        </w:rPr>
        <w:t xml:space="preserve">re </w:t>
      </w:r>
      <w:r w:rsidR="005D30E9" w:rsidRPr="006319C6">
        <w:rPr>
          <w:rFonts w:ascii="Bookman Old Style" w:hAnsi="Bookman Old Style" w:cs="Times New Roman"/>
          <w:sz w:val="28"/>
          <w:szCs w:val="28"/>
        </w:rPr>
        <w:t>there to</w:t>
      </w:r>
      <w:r w:rsidR="003402BD" w:rsidRPr="006319C6">
        <w:rPr>
          <w:rFonts w:ascii="Bookman Old Style" w:hAnsi="Bookman Old Style" w:cs="Times New Roman"/>
          <w:sz w:val="28"/>
          <w:szCs w:val="28"/>
        </w:rPr>
        <w:t xml:space="preserve"> render justice an</w:t>
      </w:r>
      <w:r w:rsidR="005D30E9" w:rsidRPr="006319C6">
        <w:rPr>
          <w:rFonts w:ascii="Bookman Old Style" w:hAnsi="Bookman Old Style" w:cs="Times New Roman"/>
          <w:sz w:val="28"/>
          <w:szCs w:val="28"/>
        </w:rPr>
        <w:t>d mete out punishment. T</w:t>
      </w:r>
      <w:r w:rsidR="00804397" w:rsidRPr="006319C6">
        <w:rPr>
          <w:rFonts w:ascii="Bookman Old Style" w:hAnsi="Bookman Old Style" w:cs="Times New Roman"/>
          <w:sz w:val="28"/>
          <w:szCs w:val="28"/>
        </w:rPr>
        <w:t xml:space="preserve">he </w:t>
      </w:r>
      <w:r w:rsidR="003402BD" w:rsidRPr="006319C6">
        <w:rPr>
          <w:rFonts w:ascii="Bookman Old Style" w:hAnsi="Bookman Old Style" w:cs="Times New Roman"/>
          <w:sz w:val="28"/>
          <w:szCs w:val="28"/>
        </w:rPr>
        <w:t xml:space="preserve">ICTY </w:t>
      </w:r>
      <w:r w:rsidR="0047146F" w:rsidRPr="006319C6">
        <w:rPr>
          <w:rFonts w:ascii="Bookman Old Style" w:hAnsi="Bookman Old Style" w:cs="Times New Roman"/>
          <w:sz w:val="28"/>
          <w:szCs w:val="28"/>
        </w:rPr>
        <w:t>examples show</w:t>
      </w:r>
      <w:r w:rsidR="003402BD" w:rsidRPr="006319C6">
        <w:rPr>
          <w:rFonts w:ascii="Bookman Old Style" w:hAnsi="Bookman Old Style" w:cs="Times New Roman"/>
          <w:sz w:val="28"/>
          <w:szCs w:val="28"/>
        </w:rPr>
        <w:t xml:space="preserve"> that justice can be interpreted </w:t>
      </w:r>
      <w:r w:rsidR="004F3959" w:rsidRPr="006319C6">
        <w:rPr>
          <w:rFonts w:ascii="Bookman Old Style" w:hAnsi="Bookman Old Style" w:cs="Times New Roman"/>
          <w:sz w:val="28"/>
          <w:szCs w:val="28"/>
        </w:rPr>
        <w:t xml:space="preserve">and perceived </w:t>
      </w:r>
      <w:r w:rsidR="0047146F" w:rsidRPr="006319C6">
        <w:rPr>
          <w:rFonts w:ascii="Bookman Old Style" w:hAnsi="Bookman Old Style" w:cs="Times New Roman"/>
          <w:sz w:val="28"/>
          <w:szCs w:val="28"/>
        </w:rPr>
        <w:t>in m</w:t>
      </w:r>
      <w:r w:rsidR="003402BD" w:rsidRPr="006319C6">
        <w:rPr>
          <w:rFonts w:ascii="Bookman Old Style" w:hAnsi="Bookman Old Style" w:cs="Times New Roman"/>
          <w:sz w:val="28"/>
          <w:szCs w:val="28"/>
        </w:rPr>
        <w:t>a</w:t>
      </w:r>
      <w:r w:rsidR="0047146F" w:rsidRPr="006319C6">
        <w:rPr>
          <w:rFonts w:ascii="Bookman Old Style" w:hAnsi="Bookman Old Style" w:cs="Times New Roman"/>
          <w:sz w:val="28"/>
          <w:szCs w:val="28"/>
        </w:rPr>
        <w:t>n</w:t>
      </w:r>
      <w:r w:rsidR="003402BD" w:rsidRPr="006319C6">
        <w:rPr>
          <w:rFonts w:ascii="Bookman Old Style" w:hAnsi="Bookman Old Style" w:cs="Times New Roman"/>
          <w:sz w:val="28"/>
          <w:szCs w:val="28"/>
        </w:rPr>
        <w:t>y differ</w:t>
      </w:r>
      <w:r w:rsidR="005D30E9" w:rsidRPr="006319C6">
        <w:rPr>
          <w:rFonts w:ascii="Bookman Old Style" w:hAnsi="Bookman Old Style" w:cs="Times New Roman"/>
          <w:sz w:val="28"/>
          <w:szCs w:val="28"/>
        </w:rPr>
        <w:t>en</w:t>
      </w:r>
      <w:r w:rsidR="003402BD" w:rsidRPr="006319C6">
        <w:rPr>
          <w:rFonts w:ascii="Bookman Old Style" w:hAnsi="Bookman Old Style" w:cs="Times New Roman"/>
          <w:sz w:val="28"/>
          <w:szCs w:val="28"/>
        </w:rPr>
        <w:t xml:space="preserve">t ways. </w:t>
      </w:r>
      <w:r w:rsidR="00C5675C" w:rsidRPr="006319C6">
        <w:rPr>
          <w:rFonts w:ascii="Bookman Old Style" w:hAnsi="Bookman Old Style" w:cs="Times New Roman"/>
          <w:sz w:val="28"/>
          <w:szCs w:val="28"/>
        </w:rPr>
        <w:t>It is almost impossible to identify a</w:t>
      </w:r>
      <w:r w:rsidR="00663760" w:rsidRPr="006319C6">
        <w:rPr>
          <w:rFonts w:ascii="Bookman Old Style" w:hAnsi="Bookman Old Style" w:cs="Times New Roman"/>
          <w:sz w:val="28"/>
          <w:szCs w:val="28"/>
        </w:rPr>
        <w:t>ny ICTY</w:t>
      </w:r>
      <w:r w:rsidR="00C5675C" w:rsidRPr="006319C6">
        <w:rPr>
          <w:rFonts w:ascii="Bookman Old Style" w:hAnsi="Bookman Old Style" w:cs="Times New Roman"/>
          <w:sz w:val="28"/>
          <w:szCs w:val="28"/>
        </w:rPr>
        <w:t xml:space="preserve"> judgment and a sentence </w:t>
      </w:r>
      <w:r w:rsidR="000D6BAA" w:rsidRPr="006319C6">
        <w:rPr>
          <w:rFonts w:ascii="Bookman Old Style" w:hAnsi="Bookman Old Style" w:cs="Times New Roman"/>
          <w:sz w:val="28"/>
          <w:szCs w:val="28"/>
        </w:rPr>
        <w:t>deliv</w:t>
      </w:r>
      <w:r w:rsidR="00804397" w:rsidRPr="006319C6">
        <w:rPr>
          <w:rFonts w:ascii="Bookman Old Style" w:hAnsi="Bookman Old Style" w:cs="Times New Roman"/>
          <w:sz w:val="28"/>
          <w:szCs w:val="28"/>
        </w:rPr>
        <w:t>ered in the last twenty</w:t>
      </w:r>
      <w:r w:rsidR="00C5675C" w:rsidRPr="006319C6">
        <w:rPr>
          <w:rFonts w:ascii="Bookman Old Style" w:hAnsi="Bookman Old Style" w:cs="Times New Roman"/>
          <w:sz w:val="28"/>
          <w:szCs w:val="28"/>
        </w:rPr>
        <w:t xml:space="preserve"> years that was greeted with approval by all sides involved in the</w:t>
      </w:r>
      <w:r w:rsidR="00804397" w:rsidRPr="006319C6">
        <w:rPr>
          <w:rFonts w:ascii="Bookman Old Style" w:hAnsi="Bookman Old Style" w:cs="Times New Roman"/>
          <w:sz w:val="28"/>
          <w:szCs w:val="28"/>
        </w:rPr>
        <w:t xml:space="preserve"> Yugoslav wars. Every judgment – </w:t>
      </w:r>
      <w:r w:rsidR="00C5675C" w:rsidRPr="006319C6">
        <w:rPr>
          <w:rFonts w:ascii="Bookman Old Style" w:hAnsi="Bookman Old Style" w:cs="Times New Roman"/>
          <w:sz w:val="28"/>
          <w:szCs w:val="28"/>
        </w:rPr>
        <w:t xml:space="preserve">conviction, </w:t>
      </w:r>
      <w:r w:rsidR="005B4AE8" w:rsidRPr="006319C6">
        <w:rPr>
          <w:rFonts w:ascii="Bookman Old Style" w:hAnsi="Bookman Old Style" w:cs="Times New Roman"/>
          <w:sz w:val="28"/>
          <w:szCs w:val="28"/>
        </w:rPr>
        <w:t xml:space="preserve">judgments on pleas of </w:t>
      </w:r>
      <w:r w:rsidR="00C5675C" w:rsidRPr="006319C6">
        <w:rPr>
          <w:rFonts w:ascii="Bookman Old Style" w:hAnsi="Bookman Old Style" w:cs="Times New Roman"/>
          <w:sz w:val="28"/>
          <w:szCs w:val="28"/>
        </w:rPr>
        <w:t xml:space="preserve">guilty, or acquittal – has led to divisive and often emotional reactions of those who found the judgments </w:t>
      </w:r>
    </w:p>
    <w:p w14:paraId="2382938D" w14:textId="77777777" w:rsidR="00D435DA" w:rsidRPr="006319C6" w:rsidRDefault="00D435DA" w:rsidP="00A9165D">
      <w:pPr>
        <w:pStyle w:val="NT-Normal"/>
        <w:spacing w:before="0" w:line="240" w:lineRule="auto"/>
        <w:rPr>
          <w:rFonts w:ascii="Bookman Old Style" w:hAnsi="Bookman Old Style" w:cs="Times New Roman"/>
          <w:sz w:val="28"/>
          <w:szCs w:val="28"/>
        </w:rPr>
      </w:pPr>
    </w:p>
    <w:p w14:paraId="636354CC" w14:textId="77777777" w:rsidR="00D435DA" w:rsidRPr="006319C6" w:rsidRDefault="00D435DA" w:rsidP="00A9165D">
      <w:pPr>
        <w:pStyle w:val="NT-Normal"/>
        <w:spacing w:before="0" w:line="240" w:lineRule="auto"/>
        <w:rPr>
          <w:rFonts w:ascii="Bookman Old Style" w:hAnsi="Bookman Old Style" w:cs="Times New Roman"/>
          <w:sz w:val="28"/>
          <w:szCs w:val="28"/>
        </w:rPr>
      </w:pPr>
    </w:p>
    <w:p w14:paraId="74B9085F" w14:textId="77777777" w:rsidR="00D435DA" w:rsidRPr="006319C6" w:rsidRDefault="00D435DA" w:rsidP="00A9165D">
      <w:pPr>
        <w:pStyle w:val="NT-Normal"/>
        <w:spacing w:before="0" w:line="240" w:lineRule="auto"/>
        <w:rPr>
          <w:rFonts w:ascii="Bookman Old Style" w:hAnsi="Bookman Old Style" w:cs="Times New Roman"/>
          <w:sz w:val="28"/>
          <w:szCs w:val="28"/>
        </w:rPr>
      </w:pPr>
    </w:p>
    <w:p w14:paraId="798324C9" w14:textId="77777777" w:rsidR="00D435DA" w:rsidRPr="006319C6" w:rsidRDefault="00D435DA" w:rsidP="00A9165D">
      <w:pPr>
        <w:pStyle w:val="NT-Normal"/>
        <w:spacing w:before="0" w:line="240" w:lineRule="auto"/>
        <w:rPr>
          <w:rFonts w:ascii="Bookman Old Style" w:hAnsi="Bookman Old Style" w:cs="Times New Roman"/>
          <w:sz w:val="28"/>
          <w:szCs w:val="28"/>
        </w:rPr>
      </w:pPr>
    </w:p>
    <w:p w14:paraId="04B8EBBE" w14:textId="1DCED9B4" w:rsidR="00A56F36" w:rsidRPr="006319C6" w:rsidRDefault="00C5675C" w:rsidP="00A9165D">
      <w:pPr>
        <w:pStyle w:val="NT-Normal"/>
        <w:spacing w:before="0" w:line="240" w:lineRule="auto"/>
        <w:rPr>
          <w:rFonts w:ascii="Bookman Old Style" w:hAnsi="Bookman Old Style" w:cs="Times New Roman"/>
          <w:sz w:val="28"/>
          <w:szCs w:val="28"/>
          <w:lang w:val="nl-NL"/>
        </w:rPr>
      </w:pPr>
      <w:proofErr w:type="gramStart"/>
      <w:r w:rsidRPr="006319C6">
        <w:rPr>
          <w:rFonts w:ascii="Bookman Old Style" w:hAnsi="Bookman Old Style" w:cs="Times New Roman"/>
          <w:sz w:val="28"/>
          <w:szCs w:val="28"/>
        </w:rPr>
        <w:t>either</w:t>
      </w:r>
      <w:proofErr w:type="gramEnd"/>
      <w:r w:rsidRPr="006319C6">
        <w:rPr>
          <w:rFonts w:ascii="Bookman Old Style" w:hAnsi="Bookman Old Style" w:cs="Times New Roman"/>
          <w:sz w:val="28"/>
          <w:szCs w:val="28"/>
        </w:rPr>
        <w:t xml:space="preserve"> too lenient or too harsh; the trials unfair, non-transparent, or incomprehe</w:t>
      </w:r>
      <w:r w:rsidR="00804397" w:rsidRPr="006319C6">
        <w:rPr>
          <w:rFonts w:ascii="Bookman Old Style" w:hAnsi="Bookman Old Style" w:cs="Times New Roman"/>
          <w:sz w:val="28"/>
          <w:szCs w:val="28"/>
        </w:rPr>
        <w:t>nsible; and the courts politicized.</w:t>
      </w:r>
      <w:r w:rsidR="005D30E9" w:rsidRPr="006319C6">
        <w:rPr>
          <w:rFonts w:ascii="Bookman Old Style" w:hAnsi="Bookman Old Style" w:cs="Times New Roman"/>
          <w:sz w:val="28"/>
          <w:szCs w:val="28"/>
          <w:lang w:val="nl-NL"/>
        </w:rPr>
        <w:t xml:space="preserve"> </w:t>
      </w:r>
    </w:p>
    <w:p w14:paraId="4A832A9B" w14:textId="140164E3" w:rsidR="00BE3B28" w:rsidRPr="006319C6" w:rsidRDefault="00A56F36" w:rsidP="00A9165D">
      <w:pPr>
        <w:ind w:firstLine="720"/>
        <w:jc w:val="both"/>
        <w:rPr>
          <w:rFonts w:ascii="Bookman Old Style" w:eastAsia="Times New Roman" w:hAnsi="Bookman Old Style" w:cs="Times New Roman"/>
          <w:color w:val="141414"/>
          <w:sz w:val="28"/>
          <w:szCs w:val="28"/>
          <w:lang w:eastAsia="en-GB"/>
        </w:rPr>
      </w:pPr>
      <w:r w:rsidRPr="006319C6">
        <w:rPr>
          <w:rFonts w:ascii="Bookman Old Style" w:eastAsia="Times New Roman" w:hAnsi="Bookman Old Style" w:cs="Times New Roman"/>
          <w:color w:val="000000"/>
          <w:sz w:val="28"/>
          <w:szCs w:val="28"/>
          <w:lang w:eastAsia="en-GB"/>
        </w:rPr>
        <w:t>And</w:t>
      </w:r>
      <w:r w:rsidR="00A0572A" w:rsidRPr="006319C6">
        <w:rPr>
          <w:rFonts w:ascii="Bookman Old Style" w:eastAsia="Times New Roman" w:hAnsi="Bookman Old Style" w:cs="Times New Roman"/>
          <w:color w:val="000000"/>
          <w:sz w:val="28"/>
          <w:szCs w:val="28"/>
          <w:lang w:eastAsia="en-GB"/>
        </w:rPr>
        <w:t xml:space="preserve"> som</w:t>
      </w:r>
      <w:r w:rsidRPr="006319C6">
        <w:rPr>
          <w:rFonts w:ascii="Bookman Old Style" w:eastAsia="Times New Roman" w:hAnsi="Bookman Old Style" w:cs="Times New Roman"/>
          <w:color w:val="000000"/>
          <w:sz w:val="28"/>
          <w:szCs w:val="28"/>
          <w:lang w:eastAsia="en-GB"/>
        </w:rPr>
        <w:t>e</w:t>
      </w:r>
      <w:r w:rsidR="00A56753" w:rsidRPr="006319C6">
        <w:rPr>
          <w:rFonts w:ascii="Bookman Old Style" w:eastAsia="Times New Roman" w:hAnsi="Bookman Old Style" w:cs="Times New Roman"/>
          <w:color w:val="000000"/>
          <w:sz w:val="28"/>
          <w:szCs w:val="28"/>
          <w:lang w:eastAsia="en-GB"/>
        </w:rPr>
        <w:t xml:space="preserve"> of these criticism</w:t>
      </w:r>
      <w:r w:rsidR="00663760" w:rsidRPr="006319C6">
        <w:rPr>
          <w:rFonts w:ascii="Bookman Old Style" w:eastAsia="Times New Roman" w:hAnsi="Bookman Old Style" w:cs="Times New Roman"/>
          <w:color w:val="000000"/>
          <w:sz w:val="28"/>
          <w:szCs w:val="28"/>
          <w:lang w:eastAsia="en-GB"/>
        </w:rPr>
        <w:t>s, however expressed, may not</w:t>
      </w:r>
      <w:r w:rsidR="00F26DF9" w:rsidRPr="006319C6">
        <w:rPr>
          <w:rFonts w:ascii="Bookman Old Style" w:eastAsia="Times New Roman" w:hAnsi="Bookman Old Style" w:cs="Times New Roman"/>
          <w:color w:val="000000"/>
          <w:sz w:val="28"/>
          <w:szCs w:val="28"/>
          <w:lang w:eastAsia="en-GB"/>
        </w:rPr>
        <w:t xml:space="preserve"> </w:t>
      </w:r>
      <w:r w:rsidR="00A56753" w:rsidRPr="006319C6">
        <w:rPr>
          <w:rFonts w:ascii="Bookman Old Style" w:eastAsia="Times New Roman" w:hAnsi="Bookman Old Style" w:cs="Times New Roman"/>
          <w:color w:val="000000"/>
          <w:sz w:val="28"/>
          <w:szCs w:val="28"/>
          <w:lang w:eastAsia="en-GB"/>
        </w:rPr>
        <w:t>be com</w:t>
      </w:r>
      <w:r w:rsidRPr="006319C6">
        <w:rPr>
          <w:rFonts w:ascii="Bookman Old Style" w:eastAsia="Times New Roman" w:hAnsi="Bookman Old Style" w:cs="Times New Roman"/>
          <w:color w:val="000000"/>
          <w:sz w:val="28"/>
          <w:szCs w:val="28"/>
          <w:lang w:eastAsia="en-GB"/>
        </w:rPr>
        <w:t>plet</w:t>
      </w:r>
      <w:r w:rsidR="00A56753" w:rsidRPr="006319C6">
        <w:rPr>
          <w:rFonts w:ascii="Bookman Old Style" w:eastAsia="Times New Roman" w:hAnsi="Bookman Old Style" w:cs="Times New Roman"/>
          <w:color w:val="000000"/>
          <w:sz w:val="28"/>
          <w:szCs w:val="28"/>
          <w:lang w:eastAsia="en-GB"/>
        </w:rPr>
        <w:t>e</w:t>
      </w:r>
      <w:r w:rsidRPr="006319C6">
        <w:rPr>
          <w:rFonts w:ascii="Bookman Old Style" w:eastAsia="Times New Roman" w:hAnsi="Bookman Old Style" w:cs="Times New Roman"/>
          <w:color w:val="000000"/>
          <w:sz w:val="28"/>
          <w:szCs w:val="28"/>
          <w:lang w:eastAsia="en-GB"/>
        </w:rPr>
        <w:t>l</w:t>
      </w:r>
      <w:r w:rsidR="00A56753" w:rsidRPr="006319C6">
        <w:rPr>
          <w:rFonts w:ascii="Bookman Old Style" w:eastAsia="Times New Roman" w:hAnsi="Bookman Old Style" w:cs="Times New Roman"/>
          <w:color w:val="000000"/>
          <w:sz w:val="28"/>
          <w:szCs w:val="28"/>
          <w:lang w:eastAsia="en-GB"/>
        </w:rPr>
        <w:t>y unfair</w:t>
      </w:r>
      <w:r w:rsidR="00F26DF9" w:rsidRPr="006319C6">
        <w:rPr>
          <w:rFonts w:ascii="Bookman Old Style" w:eastAsia="Times New Roman" w:hAnsi="Bookman Old Style" w:cs="Times New Roman"/>
          <w:color w:val="000000"/>
          <w:sz w:val="28"/>
          <w:szCs w:val="28"/>
          <w:lang w:eastAsia="en-GB"/>
        </w:rPr>
        <w:t xml:space="preserve"> or without foundation</w:t>
      </w:r>
      <w:r w:rsidR="00F165FC" w:rsidRPr="006319C6">
        <w:rPr>
          <w:rFonts w:ascii="Bookman Old Style" w:eastAsia="Times New Roman" w:hAnsi="Bookman Old Style" w:cs="Times New Roman"/>
          <w:color w:val="000000"/>
          <w:sz w:val="28"/>
          <w:szCs w:val="28"/>
          <w:lang w:eastAsia="en-GB"/>
        </w:rPr>
        <w:t>. I</w:t>
      </w:r>
      <w:r w:rsidR="00A56753" w:rsidRPr="006319C6">
        <w:rPr>
          <w:rFonts w:ascii="Bookman Old Style" w:eastAsia="Times New Roman" w:hAnsi="Bookman Old Style" w:cs="Times New Roman"/>
          <w:color w:val="000000"/>
          <w:sz w:val="28"/>
          <w:szCs w:val="28"/>
          <w:lang w:eastAsia="en-GB"/>
        </w:rPr>
        <w:t>t is</w:t>
      </w:r>
      <w:r w:rsidR="007C2AAC" w:rsidRPr="006319C6">
        <w:rPr>
          <w:rFonts w:ascii="Bookman Old Style" w:eastAsia="Times New Roman" w:hAnsi="Bookman Old Style" w:cs="Times New Roman"/>
          <w:color w:val="000000"/>
          <w:sz w:val="28"/>
          <w:szCs w:val="28"/>
          <w:lang w:eastAsia="en-GB"/>
        </w:rPr>
        <w:t xml:space="preserve"> obviously i</w:t>
      </w:r>
      <w:r w:rsidR="00A56753" w:rsidRPr="006319C6">
        <w:rPr>
          <w:rFonts w:ascii="Bookman Old Style" w:eastAsia="Times New Roman" w:hAnsi="Bookman Old Style" w:cs="Times New Roman"/>
          <w:color w:val="000000"/>
          <w:sz w:val="28"/>
          <w:szCs w:val="28"/>
          <w:lang w:eastAsia="en-GB"/>
        </w:rPr>
        <w:t xml:space="preserve">mpossible for mass-atrocities trials </w:t>
      </w:r>
      <w:r w:rsidRPr="006319C6">
        <w:rPr>
          <w:rFonts w:ascii="Bookman Old Style" w:eastAsia="Times New Roman" w:hAnsi="Bookman Old Style" w:cs="Times New Roman"/>
          <w:color w:val="000000"/>
          <w:sz w:val="28"/>
          <w:szCs w:val="28"/>
          <w:lang w:eastAsia="en-GB"/>
        </w:rPr>
        <w:t xml:space="preserve">to produce the </w:t>
      </w:r>
      <w:r w:rsidR="00806E59" w:rsidRPr="006319C6">
        <w:rPr>
          <w:rFonts w:ascii="Bookman Old Style" w:eastAsia="Times New Roman" w:hAnsi="Bookman Old Style" w:cs="Times New Roman"/>
          <w:color w:val="000000"/>
          <w:sz w:val="28"/>
          <w:szCs w:val="28"/>
          <w:lang w:eastAsia="en-GB"/>
        </w:rPr>
        <w:t>“</w:t>
      </w:r>
      <w:r w:rsidRPr="006319C6">
        <w:rPr>
          <w:rFonts w:ascii="Bookman Old Style" w:eastAsia="Times New Roman" w:hAnsi="Bookman Old Style" w:cs="Times New Roman"/>
          <w:color w:val="000000"/>
          <w:sz w:val="28"/>
          <w:szCs w:val="28"/>
          <w:lang w:eastAsia="en-GB"/>
        </w:rPr>
        <w:t>real truth</w:t>
      </w:r>
      <w:r w:rsidR="00806E59" w:rsidRPr="006319C6">
        <w:rPr>
          <w:rFonts w:ascii="Bookman Old Style" w:eastAsia="Times New Roman" w:hAnsi="Bookman Old Style" w:cs="Times New Roman"/>
          <w:color w:val="000000"/>
          <w:sz w:val="28"/>
          <w:szCs w:val="28"/>
          <w:lang w:eastAsia="en-GB"/>
        </w:rPr>
        <w:t>”</w:t>
      </w:r>
      <w:r w:rsidRPr="006319C6">
        <w:rPr>
          <w:rFonts w:ascii="Bookman Old Style" w:eastAsia="Times New Roman" w:hAnsi="Bookman Old Style" w:cs="Times New Roman"/>
          <w:color w:val="000000"/>
          <w:sz w:val="28"/>
          <w:szCs w:val="28"/>
          <w:lang w:eastAsia="en-GB"/>
        </w:rPr>
        <w:t xml:space="preserve"> or some form of</w:t>
      </w:r>
      <w:r w:rsidR="00127DB1" w:rsidRPr="006319C6">
        <w:rPr>
          <w:rFonts w:ascii="Bookman Old Style" w:eastAsia="Times New Roman" w:hAnsi="Bookman Old Style" w:cs="Times New Roman"/>
          <w:color w:val="000000"/>
          <w:sz w:val="28"/>
          <w:szCs w:val="28"/>
          <w:lang w:eastAsia="en-GB"/>
        </w:rPr>
        <w:t xml:space="preserve"> uncontested historical narrative</w:t>
      </w:r>
      <w:r w:rsidR="00127DB1" w:rsidRPr="006319C6">
        <w:rPr>
          <w:rFonts w:ascii="Bookman Old Style" w:eastAsia="Times New Roman" w:hAnsi="Bookman Old Style" w:cs="Times New Roman"/>
          <w:color w:val="000000"/>
          <w:sz w:val="28"/>
          <w:szCs w:val="28"/>
          <w:lang w:val="nl-NL" w:eastAsia="en-GB"/>
        </w:rPr>
        <w:t>(s)</w:t>
      </w:r>
      <w:r w:rsidR="00F26DF9" w:rsidRPr="006319C6">
        <w:rPr>
          <w:rFonts w:ascii="Bookman Old Style" w:eastAsia="Times New Roman" w:hAnsi="Bookman Old Style" w:cs="Times New Roman"/>
          <w:color w:val="000000"/>
          <w:sz w:val="28"/>
          <w:szCs w:val="28"/>
          <w:lang w:val="nl-NL" w:eastAsia="en-GB"/>
        </w:rPr>
        <w:t xml:space="preserve">, not least because </w:t>
      </w:r>
      <w:r w:rsidR="007C2AAC" w:rsidRPr="006319C6">
        <w:rPr>
          <w:rFonts w:ascii="Bookman Old Style" w:eastAsia="Times New Roman" w:hAnsi="Bookman Old Style" w:cs="Times New Roman"/>
          <w:color w:val="000000"/>
          <w:sz w:val="28"/>
          <w:szCs w:val="28"/>
          <w:lang w:val="nl-NL" w:eastAsia="en-GB"/>
        </w:rPr>
        <w:t>the procedural restric</w:t>
      </w:r>
      <w:r w:rsidR="0036124D" w:rsidRPr="006319C6">
        <w:rPr>
          <w:rFonts w:ascii="Bookman Old Style" w:eastAsia="Times New Roman" w:hAnsi="Bookman Old Style" w:cs="Times New Roman"/>
          <w:color w:val="000000"/>
          <w:sz w:val="28"/>
          <w:szCs w:val="28"/>
          <w:lang w:val="nl-NL" w:eastAsia="en-GB"/>
        </w:rPr>
        <w:t>t</w:t>
      </w:r>
      <w:r w:rsidR="007C2AAC" w:rsidRPr="006319C6">
        <w:rPr>
          <w:rFonts w:ascii="Bookman Old Style" w:eastAsia="Times New Roman" w:hAnsi="Bookman Old Style" w:cs="Times New Roman"/>
          <w:color w:val="000000"/>
          <w:sz w:val="28"/>
          <w:szCs w:val="28"/>
          <w:lang w:val="nl-NL" w:eastAsia="en-GB"/>
        </w:rPr>
        <w:t xml:space="preserve">ions inherent </w:t>
      </w:r>
      <w:r w:rsidR="00A56753" w:rsidRPr="006319C6">
        <w:rPr>
          <w:rFonts w:ascii="Bookman Old Style" w:eastAsia="Times New Roman" w:hAnsi="Bookman Old Style" w:cs="Times New Roman"/>
          <w:color w:val="000000"/>
          <w:sz w:val="28"/>
          <w:szCs w:val="28"/>
          <w:lang w:val="nl-NL" w:eastAsia="en-GB"/>
        </w:rPr>
        <w:t>in such trials</w:t>
      </w:r>
      <w:r w:rsidR="007C2AAC" w:rsidRPr="006319C6">
        <w:rPr>
          <w:rFonts w:ascii="Bookman Old Style" w:eastAsia="Times New Roman" w:hAnsi="Bookman Old Style" w:cs="Times New Roman"/>
          <w:color w:val="000000"/>
          <w:sz w:val="28"/>
          <w:szCs w:val="28"/>
          <w:lang w:val="nl-NL" w:eastAsia="en-GB"/>
        </w:rPr>
        <w:t xml:space="preserve"> that are bound</w:t>
      </w:r>
      <w:r w:rsidR="00F26DF9" w:rsidRPr="006319C6">
        <w:rPr>
          <w:rFonts w:ascii="Bookman Old Style" w:eastAsia="Times New Roman" w:hAnsi="Bookman Old Style" w:cs="Times New Roman"/>
          <w:color w:val="000000"/>
          <w:sz w:val="28"/>
          <w:szCs w:val="28"/>
          <w:lang w:val="nl-NL" w:eastAsia="en-GB"/>
        </w:rPr>
        <w:t xml:space="preserve"> to limit their</w:t>
      </w:r>
      <w:r w:rsidR="0036124D" w:rsidRPr="006319C6">
        <w:rPr>
          <w:rFonts w:ascii="Bookman Old Style" w:eastAsia="Times New Roman" w:hAnsi="Bookman Old Style" w:cs="Times New Roman"/>
          <w:color w:val="000000"/>
          <w:sz w:val="28"/>
          <w:szCs w:val="28"/>
          <w:lang w:val="nl-NL" w:eastAsia="en-GB"/>
        </w:rPr>
        <w:t xml:space="preserve"> ability to record a completely accurate</w:t>
      </w:r>
      <w:r w:rsidR="007C2AAC" w:rsidRPr="006319C6">
        <w:rPr>
          <w:rFonts w:ascii="Bookman Old Style" w:eastAsia="Times New Roman" w:hAnsi="Bookman Old Style" w:cs="Times New Roman"/>
          <w:color w:val="000000"/>
          <w:sz w:val="28"/>
          <w:szCs w:val="28"/>
          <w:lang w:val="nl-NL" w:eastAsia="en-GB"/>
        </w:rPr>
        <w:t xml:space="preserve"> history</w:t>
      </w:r>
      <w:r w:rsidR="0036124D" w:rsidRPr="006319C6">
        <w:rPr>
          <w:rFonts w:ascii="Bookman Old Style" w:eastAsia="Times New Roman" w:hAnsi="Bookman Old Style" w:cs="Times New Roman"/>
          <w:color w:val="000000"/>
          <w:sz w:val="28"/>
          <w:szCs w:val="28"/>
          <w:lang w:val="nl-NL" w:eastAsia="en-GB"/>
        </w:rPr>
        <w:t xml:space="preserve">. </w:t>
      </w:r>
      <w:r w:rsidR="00A56753" w:rsidRPr="006319C6">
        <w:rPr>
          <w:rFonts w:ascii="Bookman Old Style" w:eastAsia="Times New Roman" w:hAnsi="Bookman Old Style" w:cs="Times New Roman"/>
          <w:color w:val="000000"/>
          <w:sz w:val="28"/>
          <w:szCs w:val="28"/>
          <w:lang w:val="nl-NL" w:eastAsia="en-GB"/>
        </w:rPr>
        <w:t>There are limitation</w:t>
      </w:r>
      <w:r w:rsidR="00F26DF9" w:rsidRPr="006319C6">
        <w:rPr>
          <w:rFonts w:ascii="Bookman Old Style" w:eastAsia="Times New Roman" w:hAnsi="Bookman Old Style" w:cs="Times New Roman"/>
          <w:color w:val="000000"/>
          <w:sz w:val="28"/>
          <w:szCs w:val="28"/>
          <w:lang w:val="nl-NL" w:eastAsia="en-GB"/>
        </w:rPr>
        <w:t>s</w:t>
      </w:r>
      <w:r w:rsidR="00A56753" w:rsidRPr="006319C6">
        <w:rPr>
          <w:rFonts w:ascii="Bookman Old Style" w:eastAsia="Times New Roman" w:hAnsi="Bookman Old Style" w:cs="Times New Roman"/>
          <w:color w:val="000000"/>
          <w:sz w:val="28"/>
          <w:szCs w:val="28"/>
          <w:lang w:val="nl-NL" w:eastAsia="en-GB"/>
        </w:rPr>
        <w:t xml:space="preserve"> of jurisdiction, </w:t>
      </w:r>
      <w:r w:rsidR="00127DB1" w:rsidRPr="006319C6">
        <w:rPr>
          <w:rFonts w:ascii="Bookman Old Style" w:eastAsia="Times New Roman" w:hAnsi="Bookman Old Style" w:cs="Times New Roman"/>
          <w:color w:val="141414"/>
          <w:sz w:val="28"/>
          <w:szCs w:val="28"/>
          <w:lang w:eastAsia="en-GB"/>
        </w:rPr>
        <w:t>limitations of the adversarial legal sys</w:t>
      </w:r>
      <w:r w:rsidR="00A56753" w:rsidRPr="006319C6">
        <w:rPr>
          <w:rFonts w:ascii="Bookman Old Style" w:eastAsia="Times New Roman" w:hAnsi="Bookman Old Style" w:cs="Times New Roman"/>
          <w:color w:val="141414"/>
          <w:sz w:val="28"/>
          <w:szCs w:val="28"/>
          <w:lang w:eastAsia="en-GB"/>
        </w:rPr>
        <w:t>tem generally coupled with restrictive</w:t>
      </w:r>
      <w:r w:rsidR="00127DB1" w:rsidRPr="006319C6">
        <w:rPr>
          <w:rFonts w:ascii="Bookman Old Style" w:eastAsia="Times New Roman" w:hAnsi="Bookman Old Style" w:cs="Times New Roman"/>
          <w:color w:val="141414"/>
          <w:sz w:val="28"/>
          <w:szCs w:val="28"/>
          <w:lang w:eastAsia="en-GB"/>
        </w:rPr>
        <w:t xml:space="preserve"> rules of adversarial system</w:t>
      </w:r>
      <w:r w:rsidR="00A56753" w:rsidRPr="006319C6">
        <w:rPr>
          <w:rFonts w:ascii="Bookman Old Style" w:eastAsia="Times New Roman" w:hAnsi="Bookman Old Style" w:cs="Times New Roman"/>
          <w:color w:val="141414"/>
          <w:sz w:val="28"/>
          <w:szCs w:val="28"/>
          <w:lang w:eastAsia="en-GB"/>
        </w:rPr>
        <w:t>s</w:t>
      </w:r>
      <w:r w:rsidR="00127DB1" w:rsidRPr="006319C6">
        <w:rPr>
          <w:rFonts w:ascii="Bookman Old Style" w:eastAsia="Times New Roman" w:hAnsi="Bookman Old Style" w:cs="Times New Roman"/>
          <w:color w:val="141414"/>
          <w:sz w:val="28"/>
          <w:szCs w:val="28"/>
          <w:lang w:eastAsia="en-GB"/>
        </w:rPr>
        <w:t xml:space="preserve"> on </w:t>
      </w:r>
      <w:r w:rsidR="00A56753" w:rsidRPr="006319C6">
        <w:rPr>
          <w:rFonts w:ascii="Bookman Old Style" w:eastAsia="Times New Roman" w:hAnsi="Bookman Old Style" w:cs="Times New Roman"/>
          <w:color w:val="141414"/>
          <w:sz w:val="28"/>
          <w:szCs w:val="28"/>
          <w:lang w:eastAsia="en-GB"/>
        </w:rPr>
        <w:t>the admissibility of evidence.  Prosecutorial discret</w:t>
      </w:r>
      <w:r w:rsidR="00127DB1" w:rsidRPr="006319C6">
        <w:rPr>
          <w:rFonts w:ascii="Bookman Old Style" w:eastAsia="Times New Roman" w:hAnsi="Bookman Old Style" w:cs="Times New Roman"/>
          <w:color w:val="141414"/>
          <w:sz w:val="28"/>
          <w:szCs w:val="28"/>
          <w:lang w:eastAsia="en-GB"/>
        </w:rPr>
        <w:t xml:space="preserve">ion </w:t>
      </w:r>
      <w:r w:rsidR="00A56753" w:rsidRPr="006319C6">
        <w:rPr>
          <w:rFonts w:ascii="Bookman Old Style" w:eastAsia="Times New Roman" w:hAnsi="Bookman Old Style" w:cs="Times New Roman"/>
          <w:color w:val="141414"/>
          <w:sz w:val="28"/>
          <w:szCs w:val="28"/>
          <w:lang w:eastAsia="en-GB"/>
        </w:rPr>
        <w:t>about whom to indict</w:t>
      </w:r>
      <w:r w:rsidR="00127DB1" w:rsidRPr="006319C6">
        <w:rPr>
          <w:rFonts w:ascii="Bookman Old Style" w:eastAsia="Times New Roman" w:hAnsi="Bookman Old Style" w:cs="Times New Roman"/>
          <w:color w:val="141414"/>
          <w:sz w:val="28"/>
          <w:szCs w:val="28"/>
          <w:lang w:eastAsia="en-GB"/>
        </w:rPr>
        <w:t>, for which crimes</w:t>
      </w:r>
      <w:r w:rsidR="00F165FC" w:rsidRPr="006319C6">
        <w:rPr>
          <w:rFonts w:ascii="Bookman Old Style" w:eastAsia="Times New Roman" w:hAnsi="Bookman Old Style" w:cs="Times New Roman"/>
          <w:color w:val="141414"/>
          <w:sz w:val="28"/>
          <w:szCs w:val="28"/>
          <w:lang w:eastAsia="en-GB"/>
        </w:rPr>
        <w:t>,</w:t>
      </w:r>
      <w:r w:rsidR="00127DB1" w:rsidRPr="006319C6">
        <w:rPr>
          <w:rFonts w:ascii="Bookman Old Style" w:eastAsia="Times New Roman" w:hAnsi="Bookman Old Style" w:cs="Times New Roman"/>
          <w:color w:val="141414"/>
          <w:sz w:val="28"/>
          <w:szCs w:val="28"/>
          <w:lang w:eastAsia="en-GB"/>
        </w:rPr>
        <w:t xml:space="preserve"> and for which charges</w:t>
      </w:r>
      <w:r w:rsidR="00A56753" w:rsidRPr="006319C6">
        <w:rPr>
          <w:rFonts w:ascii="Bookman Old Style" w:eastAsia="Times New Roman" w:hAnsi="Bookman Old Style" w:cs="Times New Roman"/>
          <w:color w:val="141414"/>
          <w:sz w:val="28"/>
          <w:szCs w:val="28"/>
          <w:lang w:eastAsia="en-GB"/>
        </w:rPr>
        <w:t xml:space="preserve"> adds to </w:t>
      </w:r>
      <w:r w:rsidR="007C2AAC" w:rsidRPr="006319C6">
        <w:rPr>
          <w:rFonts w:ascii="Bookman Old Style" w:eastAsia="Times New Roman" w:hAnsi="Bookman Old Style" w:cs="Times New Roman"/>
          <w:color w:val="141414"/>
          <w:sz w:val="28"/>
          <w:szCs w:val="28"/>
          <w:lang w:eastAsia="en-GB"/>
        </w:rPr>
        <w:t>t</w:t>
      </w:r>
      <w:r w:rsidR="00F26DF9" w:rsidRPr="006319C6">
        <w:rPr>
          <w:rFonts w:ascii="Bookman Old Style" w:eastAsia="Times New Roman" w:hAnsi="Bookman Old Style" w:cs="Times New Roman"/>
          <w:color w:val="141414"/>
          <w:sz w:val="28"/>
          <w:szCs w:val="28"/>
          <w:lang w:eastAsia="en-GB"/>
        </w:rPr>
        <w:t>hose limita</w:t>
      </w:r>
      <w:r w:rsidR="007C2AAC" w:rsidRPr="006319C6">
        <w:rPr>
          <w:rFonts w:ascii="Bookman Old Style" w:eastAsia="Times New Roman" w:hAnsi="Bookman Old Style" w:cs="Times New Roman"/>
          <w:color w:val="141414"/>
          <w:sz w:val="28"/>
          <w:szCs w:val="28"/>
          <w:lang w:eastAsia="en-GB"/>
        </w:rPr>
        <w:t>tions as may</w:t>
      </w:r>
      <w:r w:rsidR="00127DB1" w:rsidRPr="006319C6">
        <w:rPr>
          <w:rFonts w:ascii="Bookman Old Style" w:eastAsia="Times New Roman" w:hAnsi="Bookman Old Style" w:cs="Times New Roman"/>
          <w:color w:val="141414"/>
          <w:sz w:val="28"/>
          <w:szCs w:val="28"/>
          <w:lang w:eastAsia="en-GB"/>
        </w:rPr>
        <w:t xml:space="preserve"> </w:t>
      </w:r>
      <w:r w:rsidR="0036124D" w:rsidRPr="006319C6">
        <w:rPr>
          <w:rFonts w:ascii="Bookman Old Style" w:eastAsia="Times New Roman" w:hAnsi="Bookman Old Style" w:cs="Times New Roman"/>
          <w:color w:val="141414"/>
          <w:sz w:val="28"/>
          <w:szCs w:val="28"/>
          <w:lang w:eastAsia="en-GB"/>
        </w:rPr>
        <w:t>confidential</w:t>
      </w:r>
      <w:r w:rsidR="00F26DF9" w:rsidRPr="006319C6">
        <w:rPr>
          <w:rFonts w:ascii="Bookman Old Style" w:eastAsia="Times New Roman" w:hAnsi="Bookman Old Style" w:cs="Times New Roman"/>
          <w:color w:val="141414"/>
          <w:sz w:val="28"/>
          <w:szCs w:val="28"/>
          <w:lang w:eastAsia="en-GB"/>
        </w:rPr>
        <w:t>ly obtained (and thus secret)</w:t>
      </w:r>
      <w:r w:rsidR="00127DB1" w:rsidRPr="006319C6">
        <w:rPr>
          <w:rFonts w:ascii="Bookman Old Style" w:eastAsia="Times New Roman" w:hAnsi="Bookman Old Style" w:cs="Times New Roman"/>
          <w:color w:val="141414"/>
          <w:sz w:val="28"/>
          <w:szCs w:val="28"/>
          <w:lang w:eastAsia="en-GB"/>
        </w:rPr>
        <w:t xml:space="preserve"> protection of </w:t>
      </w:r>
      <w:r w:rsidR="00F26DF9" w:rsidRPr="006319C6">
        <w:rPr>
          <w:rFonts w:ascii="Bookman Old Style" w:eastAsia="Times New Roman" w:hAnsi="Bookman Old Style" w:cs="Times New Roman"/>
          <w:color w:val="141414"/>
          <w:sz w:val="28"/>
          <w:szCs w:val="28"/>
          <w:lang w:eastAsia="en-GB"/>
        </w:rPr>
        <w:t xml:space="preserve">some </w:t>
      </w:r>
      <w:r w:rsidR="00127DB1" w:rsidRPr="006319C6">
        <w:rPr>
          <w:rFonts w:ascii="Bookman Old Style" w:eastAsia="Times New Roman" w:hAnsi="Bookman Old Style" w:cs="Times New Roman"/>
          <w:color w:val="141414"/>
          <w:sz w:val="28"/>
          <w:szCs w:val="28"/>
          <w:lang w:eastAsia="en-GB"/>
        </w:rPr>
        <w:t>evidence</w:t>
      </w:r>
      <w:r w:rsidR="007C2AAC" w:rsidRPr="006319C6">
        <w:rPr>
          <w:rFonts w:ascii="Bookman Old Style" w:eastAsia="Times New Roman" w:hAnsi="Bookman Old Style" w:cs="Times New Roman"/>
          <w:color w:val="141414"/>
          <w:sz w:val="28"/>
          <w:szCs w:val="28"/>
          <w:lang w:eastAsia="en-GB"/>
        </w:rPr>
        <w:t xml:space="preserve"> from public view</w:t>
      </w:r>
      <w:r w:rsidR="00F26DF9" w:rsidRPr="006319C6">
        <w:rPr>
          <w:rFonts w:ascii="Bookman Old Style" w:eastAsia="Times New Roman" w:hAnsi="Bookman Old Style" w:cs="Times New Roman"/>
          <w:color w:val="141414"/>
          <w:sz w:val="28"/>
          <w:szCs w:val="28"/>
          <w:lang w:eastAsia="en-GB"/>
        </w:rPr>
        <w:t>. P</w:t>
      </w:r>
      <w:r w:rsidR="00127DB1" w:rsidRPr="006319C6">
        <w:rPr>
          <w:rFonts w:ascii="Bookman Old Style" w:eastAsia="Times New Roman" w:hAnsi="Bookman Old Style" w:cs="Times New Roman"/>
          <w:color w:val="141414"/>
          <w:sz w:val="28"/>
          <w:szCs w:val="28"/>
          <w:lang w:eastAsia="en-GB"/>
        </w:rPr>
        <w:t>lea agreement</w:t>
      </w:r>
      <w:r w:rsidR="00F165FC" w:rsidRPr="006319C6">
        <w:rPr>
          <w:rFonts w:ascii="Bookman Old Style" w:eastAsia="Times New Roman" w:hAnsi="Bookman Old Style" w:cs="Times New Roman"/>
          <w:color w:val="141414"/>
          <w:sz w:val="28"/>
          <w:szCs w:val="28"/>
          <w:lang w:eastAsia="en-GB"/>
        </w:rPr>
        <w:t>s between the accused and the p</w:t>
      </w:r>
      <w:r w:rsidR="00F26DF9" w:rsidRPr="006319C6">
        <w:rPr>
          <w:rFonts w:ascii="Bookman Old Style" w:eastAsia="Times New Roman" w:hAnsi="Bookman Old Style" w:cs="Times New Roman"/>
          <w:color w:val="141414"/>
          <w:sz w:val="28"/>
          <w:szCs w:val="28"/>
          <w:lang w:eastAsia="en-GB"/>
        </w:rPr>
        <w:t>rosecution when defendan</w:t>
      </w:r>
      <w:r w:rsidR="007C2AAC" w:rsidRPr="006319C6">
        <w:rPr>
          <w:rFonts w:ascii="Bookman Old Style" w:eastAsia="Times New Roman" w:hAnsi="Bookman Old Style" w:cs="Times New Roman"/>
          <w:color w:val="141414"/>
          <w:sz w:val="28"/>
          <w:szCs w:val="28"/>
          <w:lang w:eastAsia="en-GB"/>
        </w:rPr>
        <w:t>ts p</w:t>
      </w:r>
      <w:r w:rsidR="00F26DF9" w:rsidRPr="006319C6">
        <w:rPr>
          <w:rFonts w:ascii="Bookman Old Style" w:eastAsia="Times New Roman" w:hAnsi="Bookman Old Style" w:cs="Times New Roman"/>
          <w:color w:val="141414"/>
          <w:sz w:val="28"/>
          <w:szCs w:val="28"/>
          <w:lang w:eastAsia="en-GB"/>
        </w:rPr>
        <w:t>l</w:t>
      </w:r>
      <w:r w:rsidR="007C2AAC" w:rsidRPr="006319C6">
        <w:rPr>
          <w:rFonts w:ascii="Bookman Old Style" w:eastAsia="Times New Roman" w:hAnsi="Bookman Old Style" w:cs="Times New Roman"/>
          <w:color w:val="141414"/>
          <w:sz w:val="28"/>
          <w:szCs w:val="28"/>
          <w:lang w:eastAsia="en-GB"/>
        </w:rPr>
        <w:t xml:space="preserve">ead guilty </w:t>
      </w:r>
      <w:r w:rsidR="00127DB1" w:rsidRPr="006319C6">
        <w:rPr>
          <w:rFonts w:ascii="Bookman Old Style" w:eastAsia="Times New Roman" w:hAnsi="Bookman Old Style" w:cs="Times New Roman"/>
          <w:color w:val="141414"/>
          <w:sz w:val="28"/>
          <w:szCs w:val="28"/>
          <w:lang w:eastAsia="en-GB"/>
        </w:rPr>
        <w:t xml:space="preserve">can narrow </w:t>
      </w:r>
      <w:r w:rsidR="00F26DF9" w:rsidRPr="006319C6">
        <w:rPr>
          <w:rFonts w:ascii="Bookman Old Style" w:eastAsia="Times New Roman" w:hAnsi="Bookman Old Style" w:cs="Times New Roman"/>
          <w:color w:val="141414"/>
          <w:sz w:val="28"/>
          <w:szCs w:val="28"/>
          <w:lang w:eastAsia="en-GB"/>
        </w:rPr>
        <w:t xml:space="preserve">public knowledge of </w:t>
      </w:r>
      <w:r w:rsidR="008139EF" w:rsidRPr="006319C6">
        <w:rPr>
          <w:rFonts w:ascii="Bookman Old Style" w:eastAsia="Times New Roman" w:hAnsi="Bookman Old Style" w:cs="Times New Roman"/>
          <w:color w:val="141414"/>
          <w:sz w:val="28"/>
          <w:szCs w:val="28"/>
          <w:lang w:eastAsia="en-GB"/>
        </w:rPr>
        <w:t>the real gravity</w:t>
      </w:r>
      <w:r w:rsidR="00127DB1" w:rsidRPr="006319C6">
        <w:rPr>
          <w:rFonts w:ascii="Bookman Old Style" w:eastAsia="Times New Roman" w:hAnsi="Bookman Old Style" w:cs="Times New Roman"/>
          <w:color w:val="141414"/>
          <w:sz w:val="28"/>
          <w:szCs w:val="28"/>
          <w:lang w:eastAsia="en-GB"/>
        </w:rPr>
        <w:t xml:space="preserve"> of the crimes </w:t>
      </w:r>
      <w:r w:rsidR="00F26DF9" w:rsidRPr="006319C6">
        <w:rPr>
          <w:rFonts w:ascii="Bookman Old Style" w:eastAsia="Times New Roman" w:hAnsi="Bookman Old Style" w:cs="Times New Roman"/>
          <w:color w:val="141414"/>
          <w:sz w:val="28"/>
          <w:szCs w:val="28"/>
          <w:lang w:eastAsia="en-GB"/>
        </w:rPr>
        <w:t>com</w:t>
      </w:r>
      <w:r w:rsidR="008139EF" w:rsidRPr="006319C6">
        <w:rPr>
          <w:rFonts w:ascii="Bookman Old Style" w:eastAsia="Times New Roman" w:hAnsi="Bookman Old Style" w:cs="Times New Roman"/>
          <w:color w:val="141414"/>
          <w:sz w:val="28"/>
          <w:szCs w:val="28"/>
          <w:lang w:eastAsia="en-GB"/>
        </w:rPr>
        <w:t>mitted in some geographical area or by some military unit or controll</w:t>
      </w:r>
      <w:r w:rsidR="00F165FC" w:rsidRPr="006319C6">
        <w:rPr>
          <w:rFonts w:ascii="Bookman Old Style" w:eastAsia="Times New Roman" w:hAnsi="Bookman Old Style" w:cs="Times New Roman"/>
          <w:color w:val="141414"/>
          <w:sz w:val="28"/>
          <w:szCs w:val="28"/>
          <w:lang w:eastAsia="en-GB"/>
        </w:rPr>
        <w:t>ing political body; the public</w:t>
      </w:r>
      <w:r w:rsidR="008139EF" w:rsidRPr="006319C6">
        <w:rPr>
          <w:rFonts w:ascii="Bookman Old Style" w:eastAsia="Times New Roman" w:hAnsi="Bookman Old Style" w:cs="Times New Roman"/>
          <w:color w:val="141414"/>
          <w:sz w:val="28"/>
          <w:szCs w:val="28"/>
          <w:lang w:eastAsia="en-GB"/>
        </w:rPr>
        <w:t xml:space="preserve"> assumption will be that the agreement reflects what actually happened wher</w:t>
      </w:r>
      <w:r w:rsidR="0079400D" w:rsidRPr="006319C6">
        <w:rPr>
          <w:rFonts w:ascii="Bookman Old Style" w:eastAsia="Times New Roman" w:hAnsi="Bookman Old Style" w:cs="Times New Roman"/>
          <w:color w:val="141414"/>
          <w:sz w:val="28"/>
          <w:szCs w:val="28"/>
          <w:lang w:eastAsia="en-GB"/>
        </w:rPr>
        <w:t>e</w:t>
      </w:r>
      <w:r w:rsidR="008139EF" w:rsidRPr="006319C6">
        <w:rPr>
          <w:rFonts w:ascii="Bookman Old Style" w:eastAsia="Times New Roman" w:hAnsi="Bookman Old Style" w:cs="Times New Roman"/>
          <w:color w:val="141414"/>
          <w:sz w:val="28"/>
          <w:szCs w:val="28"/>
          <w:lang w:eastAsia="en-GB"/>
        </w:rPr>
        <w:t>as it may have been made</w:t>
      </w:r>
      <w:r w:rsidR="007C6A7D" w:rsidRPr="006319C6">
        <w:rPr>
          <w:rFonts w:ascii="Bookman Old Style" w:eastAsia="Times New Roman" w:hAnsi="Bookman Old Style" w:cs="Times New Roman"/>
          <w:color w:val="141414"/>
          <w:sz w:val="28"/>
          <w:szCs w:val="28"/>
          <w:lang w:eastAsia="en-GB"/>
        </w:rPr>
        <w:t xml:space="preserve"> </w:t>
      </w:r>
      <w:r w:rsidR="008139EF" w:rsidRPr="006319C6">
        <w:rPr>
          <w:rFonts w:ascii="Bookman Old Style" w:eastAsia="Times New Roman" w:hAnsi="Bookman Old Style" w:cs="Times New Roman"/>
          <w:color w:val="141414"/>
          <w:sz w:val="28"/>
          <w:szCs w:val="28"/>
          <w:lang w:eastAsia="en-GB"/>
        </w:rPr>
        <w:t xml:space="preserve">to save time or because some evidence was weak and the </w:t>
      </w:r>
      <w:r w:rsidR="0079400D" w:rsidRPr="006319C6">
        <w:rPr>
          <w:rFonts w:ascii="Bookman Old Style" w:eastAsia="Times New Roman" w:hAnsi="Bookman Old Style" w:cs="Times New Roman"/>
          <w:color w:val="141414"/>
          <w:sz w:val="28"/>
          <w:szCs w:val="28"/>
          <w:lang w:eastAsia="en-GB"/>
        </w:rPr>
        <w:t>p</w:t>
      </w:r>
      <w:r w:rsidR="008139EF" w:rsidRPr="006319C6">
        <w:rPr>
          <w:rFonts w:ascii="Bookman Old Style" w:eastAsia="Times New Roman" w:hAnsi="Bookman Old Style" w:cs="Times New Roman"/>
          <w:color w:val="141414"/>
          <w:sz w:val="28"/>
          <w:szCs w:val="28"/>
          <w:lang w:eastAsia="en-GB"/>
        </w:rPr>
        <w:t xml:space="preserve">rosecution were never certain of getting convictions </w:t>
      </w:r>
      <w:r w:rsidR="0079400D" w:rsidRPr="006319C6">
        <w:rPr>
          <w:rFonts w:ascii="Bookman Old Style" w:eastAsia="Times New Roman" w:hAnsi="Bookman Old Style" w:cs="Times New Roman"/>
          <w:color w:val="141414"/>
          <w:sz w:val="28"/>
          <w:szCs w:val="28"/>
          <w:lang w:eastAsia="en-GB"/>
        </w:rPr>
        <w:t>– or</w:t>
      </w:r>
      <w:r w:rsidR="008139EF" w:rsidRPr="006319C6">
        <w:rPr>
          <w:rFonts w:ascii="Bookman Old Style" w:eastAsia="Times New Roman" w:hAnsi="Bookman Old Style" w:cs="Times New Roman"/>
          <w:color w:val="141414"/>
          <w:sz w:val="28"/>
          <w:szCs w:val="28"/>
          <w:lang w:eastAsia="en-GB"/>
        </w:rPr>
        <w:t xml:space="preserve"> for other reasons.</w:t>
      </w:r>
    </w:p>
    <w:p w14:paraId="72F86794" w14:textId="60E39DFD" w:rsidR="00EC0B27" w:rsidRPr="006319C6" w:rsidRDefault="003402BD"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lang w:val="en-GB" w:eastAsia="it-IT"/>
        </w:rPr>
        <w:tab/>
        <w:t xml:space="preserve"> </w:t>
      </w:r>
      <w:r w:rsidR="0079400D" w:rsidRPr="006319C6">
        <w:rPr>
          <w:rFonts w:ascii="Bookman Old Style" w:hAnsi="Bookman Old Style"/>
          <w:sz w:val="28"/>
          <w:szCs w:val="28"/>
        </w:rPr>
        <w:t>W</w:t>
      </w:r>
      <w:r w:rsidR="001D1E09" w:rsidRPr="006319C6">
        <w:rPr>
          <w:rFonts w:ascii="Bookman Old Style" w:hAnsi="Bookman Old Style"/>
          <w:sz w:val="28"/>
          <w:szCs w:val="28"/>
        </w:rPr>
        <w:t xml:space="preserve">ill judges and lawyers have the last word when it comes to the establishing </w:t>
      </w:r>
      <w:r w:rsidR="00240D80" w:rsidRPr="006319C6">
        <w:rPr>
          <w:rFonts w:ascii="Bookman Old Style" w:hAnsi="Bookman Old Style"/>
          <w:sz w:val="28"/>
          <w:szCs w:val="28"/>
        </w:rPr>
        <w:t>of a domina</w:t>
      </w:r>
      <w:r w:rsidR="000D6BAA" w:rsidRPr="006319C6">
        <w:rPr>
          <w:rFonts w:ascii="Bookman Old Style" w:hAnsi="Bookman Old Style"/>
          <w:sz w:val="28"/>
          <w:szCs w:val="28"/>
        </w:rPr>
        <w:t>n</w:t>
      </w:r>
      <w:r w:rsidR="00240D80" w:rsidRPr="006319C6">
        <w:rPr>
          <w:rFonts w:ascii="Bookman Old Style" w:hAnsi="Bookman Old Style"/>
          <w:sz w:val="28"/>
          <w:szCs w:val="28"/>
        </w:rPr>
        <w:t>t or unc</w:t>
      </w:r>
      <w:r w:rsidR="000D6BAA" w:rsidRPr="006319C6">
        <w:rPr>
          <w:rFonts w:ascii="Bookman Old Style" w:hAnsi="Bookman Old Style"/>
          <w:sz w:val="28"/>
          <w:szCs w:val="28"/>
        </w:rPr>
        <w:t>o</w:t>
      </w:r>
      <w:r w:rsidR="00240D80" w:rsidRPr="006319C6">
        <w:rPr>
          <w:rFonts w:ascii="Bookman Old Style" w:hAnsi="Bookman Old Style"/>
          <w:sz w:val="28"/>
          <w:szCs w:val="28"/>
        </w:rPr>
        <w:t xml:space="preserve">ntested </w:t>
      </w:r>
      <w:r w:rsidR="001D1E09" w:rsidRPr="006319C6">
        <w:rPr>
          <w:rFonts w:ascii="Bookman Old Style" w:hAnsi="Bookman Old Style"/>
          <w:sz w:val="28"/>
          <w:szCs w:val="28"/>
        </w:rPr>
        <w:t>historica</w:t>
      </w:r>
      <w:r w:rsidR="00240D80" w:rsidRPr="006319C6">
        <w:rPr>
          <w:rFonts w:ascii="Bookman Old Style" w:hAnsi="Bookman Old Style"/>
          <w:sz w:val="28"/>
          <w:szCs w:val="28"/>
        </w:rPr>
        <w:t>l narrative</w:t>
      </w:r>
      <w:r w:rsidR="001D1E09" w:rsidRPr="006319C6">
        <w:rPr>
          <w:rFonts w:ascii="Bookman Old Style" w:hAnsi="Bookman Old Style"/>
          <w:sz w:val="28"/>
          <w:szCs w:val="28"/>
        </w:rPr>
        <w:t>? Not likely</w:t>
      </w:r>
      <w:r w:rsidR="00EC0B27" w:rsidRPr="006319C6">
        <w:rPr>
          <w:rFonts w:ascii="Bookman Old Style" w:hAnsi="Bookman Old Style"/>
          <w:sz w:val="28"/>
          <w:szCs w:val="28"/>
        </w:rPr>
        <w:t xml:space="preserve">, although when judges </w:t>
      </w:r>
      <w:r w:rsidR="00EC0B27" w:rsidRPr="006319C6">
        <w:rPr>
          <w:rFonts w:ascii="Bookman Old Style" w:hAnsi="Bookman Old Style"/>
          <w:sz w:val="28"/>
          <w:szCs w:val="28"/>
        </w:rPr>
        <w:lastRenderedPageBreak/>
        <w:t>produce careful balanced judgments on properly presented evidence</w:t>
      </w:r>
      <w:r w:rsidR="0079400D" w:rsidRPr="006319C6">
        <w:rPr>
          <w:rFonts w:ascii="Bookman Old Style" w:hAnsi="Bookman Old Style"/>
          <w:sz w:val="28"/>
          <w:szCs w:val="28"/>
        </w:rPr>
        <w:t>,</w:t>
      </w:r>
      <w:r w:rsidR="00EC0B27" w:rsidRPr="006319C6">
        <w:rPr>
          <w:rFonts w:ascii="Bookman Old Style" w:hAnsi="Bookman Old Style"/>
          <w:sz w:val="28"/>
          <w:szCs w:val="28"/>
        </w:rPr>
        <w:t xml:space="preserve"> their analysis and judgments may be of far greater </w:t>
      </w:r>
      <w:r w:rsidR="00A84F3C" w:rsidRPr="006319C6">
        <w:rPr>
          <w:rFonts w:ascii="Bookman Old Style" w:hAnsi="Bookman Old Style"/>
          <w:sz w:val="28"/>
          <w:szCs w:val="28"/>
        </w:rPr>
        <w:t xml:space="preserve">value </w:t>
      </w:r>
      <w:r w:rsidR="00EC0B27" w:rsidRPr="006319C6">
        <w:rPr>
          <w:rFonts w:ascii="Bookman Old Style" w:hAnsi="Bookman Old Style"/>
          <w:sz w:val="28"/>
          <w:szCs w:val="28"/>
        </w:rPr>
        <w:t>than some single piece of evidence deployed by polemicist, politician</w:t>
      </w:r>
      <w:r w:rsidR="0079400D" w:rsidRPr="006319C6">
        <w:rPr>
          <w:rFonts w:ascii="Bookman Old Style" w:hAnsi="Bookman Old Style"/>
          <w:sz w:val="28"/>
          <w:szCs w:val="28"/>
        </w:rPr>
        <w:t>,</w:t>
      </w:r>
      <w:r w:rsidR="00EC0B27" w:rsidRPr="006319C6">
        <w:rPr>
          <w:rFonts w:ascii="Bookman Old Style" w:hAnsi="Bookman Old Style"/>
          <w:sz w:val="28"/>
          <w:szCs w:val="28"/>
        </w:rPr>
        <w:t xml:space="preserve"> or historian</w:t>
      </w:r>
      <w:r w:rsidR="001D1E09" w:rsidRPr="006319C6">
        <w:rPr>
          <w:rFonts w:ascii="Bookman Old Style" w:hAnsi="Bookman Old Style"/>
          <w:sz w:val="28"/>
          <w:szCs w:val="28"/>
        </w:rPr>
        <w:t xml:space="preserve">. </w:t>
      </w:r>
    </w:p>
    <w:p w14:paraId="5F2B1646" w14:textId="1ABD66EF" w:rsidR="00A04322" w:rsidRPr="006319C6" w:rsidRDefault="00A04322" w:rsidP="00A9165D">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ab/>
        <w:t xml:space="preserve">Accordingly, the historical record left by such courts may be vast but is bound to be incomplete. This fact must never be sidestepped out of enthusiasm </w:t>
      </w:r>
      <w:r w:rsidR="0030375F" w:rsidRPr="006319C6">
        <w:rPr>
          <w:rFonts w:ascii="Bookman Old Style" w:hAnsi="Bookman Old Style"/>
          <w:sz w:val="28"/>
          <w:szCs w:val="28"/>
        </w:rPr>
        <w:t>for some court judgments favo</w:t>
      </w:r>
      <w:r w:rsidRPr="006319C6">
        <w:rPr>
          <w:rFonts w:ascii="Bookman Old Style" w:hAnsi="Bookman Old Style"/>
          <w:sz w:val="28"/>
          <w:szCs w:val="28"/>
        </w:rPr>
        <w:t xml:space="preserve">rable to a particular cause; nor should it allow the immense part that court records can play in setting historical narratives be diminished. And even this recognition does not capture all the caution with which we should consider trial records. </w:t>
      </w:r>
    </w:p>
    <w:p w14:paraId="130263F5" w14:textId="60637DCC" w:rsidR="00A04322" w:rsidRPr="006319C6" w:rsidRDefault="00A04322" w:rsidP="00A9165D">
      <w:pPr>
        <w:pStyle w:val="Paragraph"/>
        <w:spacing w:before="0" w:after="0" w:line="240" w:lineRule="auto"/>
        <w:ind w:firstLine="720"/>
        <w:rPr>
          <w:rFonts w:ascii="Bookman Old Style" w:hAnsi="Bookman Old Style"/>
          <w:sz w:val="28"/>
          <w:szCs w:val="28"/>
        </w:rPr>
      </w:pPr>
      <w:r w:rsidRPr="006319C6">
        <w:rPr>
          <w:rFonts w:ascii="Bookman Old Style" w:hAnsi="Bookman Old Style"/>
          <w:sz w:val="28"/>
          <w:szCs w:val="28"/>
          <w:lang w:val="en-GB" w:eastAsia="it-IT"/>
        </w:rPr>
        <w:t>The fact that international criminal trials focus on the criminal responsibility of individuals for mass atrocities raises the question of whether it should be only individuals who should bear the burden of criminal account</w:t>
      </w:r>
      <w:r w:rsidR="0030375F" w:rsidRPr="006319C6">
        <w:rPr>
          <w:rFonts w:ascii="Bookman Old Style" w:hAnsi="Bookman Old Style"/>
          <w:sz w:val="28"/>
          <w:szCs w:val="28"/>
          <w:lang w:val="en-GB" w:eastAsia="it-IT"/>
        </w:rPr>
        <w:t>ability for what may have been S</w:t>
      </w:r>
      <w:r w:rsidRPr="006319C6">
        <w:rPr>
          <w:rFonts w:ascii="Bookman Old Style" w:hAnsi="Bookman Old Style"/>
          <w:sz w:val="28"/>
          <w:szCs w:val="28"/>
          <w:lang w:val="en-GB" w:eastAsia="it-IT"/>
        </w:rPr>
        <w:t>tate violence committed over a long period of time through the agency of institutional structures. Selecting a relatively small number of individuals to prosecute for crimes that occurred over a protracted period of time – as has been the case since the establishment of the international criminal courts a</w:t>
      </w:r>
      <w:r w:rsidR="0030375F" w:rsidRPr="006319C6">
        <w:rPr>
          <w:rFonts w:ascii="Bookman Old Style" w:hAnsi="Bookman Old Style"/>
          <w:sz w:val="28"/>
          <w:szCs w:val="28"/>
          <w:lang w:val="en-GB" w:eastAsia="it-IT"/>
        </w:rPr>
        <w:t>nd tribunals from 1993 onwards – c</w:t>
      </w:r>
      <w:r w:rsidRPr="006319C6">
        <w:rPr>
          <w:rFonts w:ascii="Bookman Old Style" w:hAnsi="Bookman Old Style"/>
          <w:sz w:val="28"/>
          <w:szCs w:val="28"/>
          <w:lang w:val="en-GB" w:eastAsia="it-IT"/>
        </w:rPr>
        <w:t xml:space="preserve">an lead to historical </w:t>
      </w:r>
      <w:r w:rsidR="00806E59" w:rsidRPr="006319C6">
        <w:rPr>
          <w:rFonts w:ascii="Bookman Old Style" w:hAnsi="Bookman Old Style"/>
          <w:sz w:val="28"/>
          <w:szCs w:val="28"/>
          <w:lang w:val="en-GB" w:eastAsia="it-IT"/>
        </w:rPr>
        <w:t>“</w:t>
      </w:r>
      <w:r w:rsidRPr="006319C6">
        <w:rPr>
          <w:rFonts w:ascii="Bookman Old Style" w:hAnsi="Bookman Old Style"/>
          <w:sz w:val="28"/>
          <w:szCs w:val="28"/>
          <w:lang w:val="en-GB" w:eastAsia="it-IT"/>
        </w:rPr>
        <w:t>simplification</w:t>
      </w:r>
      <w:r w:rsidR="00806E59" w:rsidRPr="006319C6">
        <w:rPr>
          <w:rFonts w:ascii="Bookman Old Style" w:hAnsi="Bookman Old Style"/>
          <w:sz w:val="28"/>
          <w:szCs w:val="28"/>
          <w:lang w:val="en-GB" w:eastAsia="it-IT"/>
        </w:rPr>
        <w:t>”</w:t>
      </w:r>
      <w:r w:rsidRPr="006319C6">
        <w:rPr>
          <w:rFonts w:ascii="Bookman Old Style" w:hAnsi="Bookman Old Style"/>
          <w:sz w:val="28"/>
          <w:szCs w:val="28"/>
          <w:lang w:val="en-GB" w:eastAsia="it-IT"/>
        </w:rPr>
        <w:t xml:space="preserve">, where too much focus on an individual can overshadow the long-standing historical processes that have led to the commission of mass atrocities. </w:t>
      </w:r>
    </w:p>
    <w:p w14:paraId="48F79BBC" w14:textId="15A0F2A0" w:rsidR="00A04322" w:rsidRPr="006319C6" w:rsidRDefault="00A04322" w:rsidP="00A9165D">
      <w:pPr>
        <w:pStyle w:val="Paragraph"/>
        <w:spacing w:before="0" w:after="0" w:line="240" w:lineRule="auto"/>
        <w:ind w:firstLine="720"/>
        <w:rPr>
          <w:rFonts w:ascii="Bookman Old Style" w:hAnsi="Bookman Old Style"/>
          <w:color w:val="141414"/>
          <w:sz w:val="28"/>
          <w:szCs w:val="28"/>
          <w:lang w:eastAsia="en-GB"/>
        </w:rPr>
      </w:pPr>
      <w:r w:rsidRPr="006319C6">
        <w:rPr>
          <w:rFonts w:ascii="Bookman Old Style" w:hAnsi="Bookman Old Style"/>
          <w:color w:val="141414"/>
          <w:sz w:val="28"/>
          <w:szCs w:val="28"/>
          <w:lang w:eastAsia="en-GB"/>
        </w:rPr>
        <w:t>In addition to these proper restrictions inherent to the ways mass atrocities trials operate, it is necessary to be realistic ab</w:t>
      </w:r>
      <w:r w:rsidR="0030375F" w:rsidRPr="006319C6">
        <w:rPr>
          <w:rFonts w:ascii="Bookman Old Style" w:hAnsi="Bookman Old Style"/>
          <w:color w:val="141414"/>
          <w:sz w:val="28"/>
          <w:szCs w:val="28"/>
          <w:lang w:eastAsia="en-GB"/>
        </w:rPr>
        <w:t>out the power that S</w:t>
      </w:r>
      <w:r w:rsidRPr="006319C6">
        <w:rPr>
          <w:rFonts w:ascii="Bookman Old Style" w:hAnsi="Bookman Old Style"/>
          <w:color w:val="141414"/>
          <w:sz w:val="28"/>
          <w:szCs w:val="28"/>
          <w:lang w:eastAsia="en-GB"/>
        </w:rPr>
        <w:t>tates will exercise to control evidence when they fear for their their national interest – whether or not those fears should be resp</w:t>
      </w:r>
      <w:r w:rsidR="000B6CF8" w:rsidRPr="006319C6">
        <w:rPr>
          <w:rFonts w:ascii="Bookman Old Style" w:hAnsi="Bookman Old Style"/>
          <w:color w:val="141414"/>
          <w:sz w:val="28"/>
          <w:szCs w:val="28"/>
          <w:lang w:eastAsia="en-GB"/>
        </w:rPr>
        <w:t>ected as a matter of law. What S</w:t>
      </w:r>
      <w:r w:rsidRPr="006319C6">
        <w:rPr>
          <w:rFonts w:ascii="Bookman Old Style" w:hAnsi="Bookman Old Style"/>
          <w:color w:val="141414"/>
          <w:sz w:val="28"/>
          <w:szCs w:val="28"/>
          <w:lang w:eastAsia="en-GB"/>
        </w:rPr>
        <w:t>tates have done, and may continue to do, can be seen as improper; but it should be remembered that it is not enti</w:t>
      </w:r>
      <w:r w:rsidR="000B6CF8" w:rsidRPr="006319C6">
        <w:rPr>
          <w:rFonts w:ascii="Bookman Old Style" w:hAnsi="Bookman Old Style"/>
          <w:color w:val="141414"/>
          <w:sz w:val="28"/>
          <w:szCs w:val="28"/>
          <w:lang w:eastAsia="en-GB"/>
        </w:rPr>
        <w:t>rely dissimilar from what defens</w:t>
      </w:r>
      <w:r w:rsidRPr="006319C6">
        <w:rPr>
          <w:rFonts w:ascii="Bookman Old Style" w:hAnsi="Bookman Old Style"/>
          <w:color w:val="141414"/>
          <w:sz w:val="28"/>
          <w:szCs w:val="28"/>
          <w:lang w:eastAsia="en-GB"/>
        </w:rPr>
        <w:t xml:space="preserve">e lawyers can properly do when they know of </w:t>
      </w:r>
      <w:r w:rsidR="000B6CF8" w:rsidRPr="006319C6">
        <w:rPr>
          <w:rFonts w:ascii="Bookman Old Style" w:hAnsi="Bookman Old Style"/>
          <w:color w:val="141414"/>
          <w:sz w:val="28"/>
          <w:szCs w:val="28"/>
          <w:lang w:eastAsia="en-GB"/>
        </w:rPr>
        <w:t xml:space="preserve">or </w:t>
      </w:r>
      <w:r w:rsidRPr="006319C6">
        <w:rPr>
          <w:rFonts w:ascii="Bookman Old Style" w:hAnsi="Bookman Old Style"/>
          <w:color w:val="141414"/>
          <w:sz w:val="28"/>
          <w:szCs w:val="28"/>
          <w:lang w:eastAsia="en-GB"/>
        </w:rPr>
        <w:t>have in their possession but do not produce in court evidence that is perceived as adverse to their client. </w:t>
      </w:r>
    </w:p>
    <w:p w14:paraId="37273206" w14:textId="77777777" w:rsidR="00D435DA" w:rsidRPr="006319C6" w:rsidRDefault="00D7763E" w:rsidP="00A9165D">
      <w:pPr>
        <w:pStyle w:val="Paragraph"/>
        <w:spacing w:before="0" w:after="0" w:line="240" w:lineRule="auto"/>
        <w:ind w:firstLine="720"/>
        <w:rPr>
          <w:rFonts w:ascii="Bookman Old Style" w:hAnsi="Bookman Old Style"/>
          <w:sz w:val="28"/>
          <w:szCs w:val="28"/>
        </w:rPr>
      </w:pPr>
      <w:r w:rsidRPr="006319C6">
        <w:rPr>
          <w:rFonts w:ascii="Bookman Old Style" w:hAnsi="Bookman Old Style"/>
          <w:sz w:val="28"/>
          <w:szCs w:val="28"/>
        </w:rPr>
        <w:t>With all these con</w:t>
      </w:r>
      <w:r w:rsidR="00EC0B27" w:rsidRPr="006319C6">
        <w:rPr>
          <w:rFonts w:ascii="Bookman Old Style" w:hAnsi="Bookman Old Style"/>
          <w:sz w:val="28"/>
          <w:szCs w:val="28"/>
        </w:rPr>
        <w:t>c</w:t>
      </w:r>
      <w:r w:rsidRPr="006319C6">
        <w:rPr>
          <w:rFonts w:ascii="Bookman Old Style" w:hAnsi="Bookman Old Style"/>
          <w:sz w:val="28"/>
          <w:szCs w:val="28"/>
        </w:rPr>
        <w:t>l</w:t>
      </w:r>
      <w:r w:rsidR="00EC0B27" w:rsidRPr="006319C6">
        <w:rPr>
          <w:rFonts w:ascii="Bookman Old Style" w:hAnsi="Bookman Old Style"/>
          <w:sz w:val="28"/>
          <w:szCs w:val="28"/>
        </w:rPr>
        <w:t>usions in mind, t</w:t>
      </w:r>
      <w:r w:rsidR="00072264" w:rsidRPr="006319C6">
        <w:rPr>
          <w:rFonts w:ascii="Bookman Old Style" w:hAnsi="Bookman Old Style"/>
          <w:sz w:val="28"/>
          <w:szCs w:val="28"/>
        </w:rPr>
        <w:t xml:space="preserve">he most profound difference between legal and historical narratives is that the legal narrative as captured in trial transcripts, evidence, or </w:t>
      </w:r>
    </w:p>
    <w:p w14:paraId="736121C0" w14:textId="75B6E585" w:rsidR="000D519A" w:rsidRPr="006319C6" w:rsidRDefault="00072264" w:rsidP="00D435DA">
      <w:pPr>
        <w:pStyle w:val="Paragraph"/>
        <w:spacing w:before="0" w:after="0" w:line="240" w:lineRule="auto"/>
        <w:rPr>
          <w:rFonts w:ascii="Bookman Old Style" w:hAnsi="Bookman Old Style"/>
          <w:sz w:val="28"/>
          <w:szCs w:val="28"/>
        </w:rPr>
      </w:pPr>
      <w:r w:rsidRPr="006319C6">
        <w:rPr>
          <w:rFonts w:ascii="Bookman Old Style" w:hAnsi="Bookman Old Style"/>
          <w:sz w:val="28"/>
          <w:szCs w:val="28"/>
        </w:rPr>
        <w:t xml:space="preserve">in judgments will remain frozen in time. If new evidence emerges that allows re-opening the trial or a re-trial, it has to </w:t>
      </w:r>
      <w:r w:rsidRPr="006319C6">
        <w:rPr>
          <w:rFonts w:ascii="Bookman Old Style" w:hAnsi="Bookman Old Style"/>
          <w:sz w:val="28"/>
          <w:szCs w:val="28"/>
        </w:rPr>
        <w:lastRenderedPageBreak/>
        <w:t>ha</w:t>
      </w:r>
      <w:r w:rsidR="000B6CF8" w:rsidRPr="006319C6">
        <w:rPr>
          <w:rFonts w:ascii="Bookman Old Style" w:hAnsi="Bookman Old Style"/>
          <w:sz w:val="28"/>
          <w:szCs w:val="28"/>
        </w:rPr>
        <w:t xml:space="preserve">ppen while a defendant is </w:t>
      </w:r>
      <w:r w:rsidRPr="006319C6">
        <w:rPr>
          <w:rFonts w:ascii="Bookman Old Style" w:hAnsi="Bookman Old Style"/>
          <w:sz w:val="28"/>
          <w:szCs w:val="28"/>
        </w:rPr>
        <w:t xml:space="preserve">alive. After a defendant dies, new evidence that might emerge will be left to historians to record, evaluate and judge. </w:t>
      </w:r>
      <w:r w:rsidR="00BE3B28" w:rsidRPr="006319C6">
        <w:rPr>
          <w:rFonts w:ascii="Bookman Old Style" w:hAnsi="Bookman Old Style"/>
          <w:sz w:val="28"/>
          <w:szCs w:val="28"/>
        </w:rPr>
        <w:t xml:space="preserve"> </w:t>
      </w:r>
    </w:p>
    <w:p w14:paraId="24A5F4C5" w14:textId="54A1103A" w:rsidR="00BC2227" w:rsidRPr="006319C6" w:rsidRDefault="00BC2227">
      <w:pPr>
        <w:rPr>
          <w:rFonts w:ascii="Bookman Old Style" w:hAnsi="Bookman Old Style" w:cs="Times New Roman"/>
          <w:sz w:val="28"/>
          <w:szCs w:val="28"/>
        </w:rPr>
      </w:pPr>
    </w:p>
    <w:sectPr w:rsidR="00BC2227" w:rsidRPr="006319C6" w:rsidSect="00D435DA">
      <w:footerReference w:type="even" r:id="rId8"/>
      <w:footerReference w:type="default" r:id="rId9"/>
      <w:pgSz w:w="11900" w:h="16840"/>
      <w:pgMar w:top="1440" w:right="1800" w:bottom="1440" w:left="1800" w:header="708" w:footer="708" w:gutter="0"/>
      <w:pgNumType w:start="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F9886" w14:textId="77777777" w:rsidR="00E064BF" w:rsidRDefault="00E064BF" w:rsidP="00C80E96">
      <w:r>
        <w:separator/>
      </w:r>
    </w:p>
  </w:endnote>
  <w:endnote w:type="continuationSeparator" w:id="0">
    <w:p w14:paraId="587C3A12" w14:textId="77777777" w:rsidR="00E064BF" w:rsidRDefault="00E064BF" w:rsidP="00C8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
    <w:altName w:val="Optima ExtraBlack"/>
    <w:panose1 w:val="00000000000000000000"/>
    <w:charset w:val="80"/>
    <w:family w:val="auto"/>
    <w:notTrueType/>
    <w:pitch w:val="variable"/>
    <w:sig w:usb0="00000001" w:usb1="08070000" w:usb2="00000010" w:usb3="00000000" w:csb0="00020000" w:csb1="00000000"/>
  </w:font>
  <w:font w:name="TimesPP">
    <w:altName w:val="Times New Roman"/>
    <w:charset w:val="00"/>
    <w:family w:val="auto"/>
    <w:pitch w:val="variable"/>
    <w:sig w:usb0="00000007" w:usb1="00000000" w:usb2="00000000" w:usb3="00000000" w:csb0="00000013" w:csb1="00000000"/>
  </w:font>
  <w:font w:name="Times">
    <w:panose1 w:val="020206030504050203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D3562" w14:textId="77777777" w:rsidR="00D435DA" w:rsidRDefault="00D435DA" w:rsidP="00D435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5D43C1" w14:textId="77777777" w:rsidR="00D435DA" w:rsidRDefault="00D435DA" w:rsidP="00D435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799F9" w14:textId="77777777" w:rsidR="00D435DA" w:rsidRDefault="00D435DA" w:rsidP="00D435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9C6">
      <w:rPr>
        <w:rStyle w:val="PageNumber"/>
        <w:noProof/>
      </w:rPr>
      <w:t>81</w:t>
    </w:r>
    <w:r>
      <w:rPr>
        <w:rStyle w:val="PageNumber"/>
      </w:rPr>
      <w:fldChar w:fldCharType="end"/>
    </w:r>
  </w:p>
  <w:p w14:paraId="46A744CF" w14:textId="77777777" w:rsidR="00D435DA" w:rsidRDefault="00D435DA" w:rsidP="00D435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27BB9" w14:textId="77777777" w:rsidR="00E064BF" w:rsidRDefault="00E064BF" w:rsidP="00C80E96">
      <w:r>
        <w:separator/>
      </w:r>
    </w:p>
  </w:footnote>
  <w:footnote w:type="continuationSeparator" w:id="0">
    <w:p w14:paraId="0D8B492E" w14:textId="77777777" w:rsidR="00E064BF" w:rsidRDefault="00E064BF" w:rsidP="00C80E96">
      <w:r>
        <w:continuationSeparator/>
      </w:r>
    </w:p>
  </w:footnote>
  <w:footnote w:id="1">
    <w:p w14:paraId="514A654F" w14:textId="437ED356" w:rsidR="00D435DA" w:rsidRDefault="00D435DA" w:rsidP="00207C82">
      <w:pPr>
        <w:pStyle w:val="FootnoteText"/>
        <w:rPr>
          <w:rFonts w:ascii="Times" w:hAnsi="Times"/>
          <w:sz w:val="18"/>
          <w:szCs w:val="18"/>
        </w:rPr>
      </w:pPr>
      <w:r>
        <w:rPr>
          <w:rFonts w:ascii="Times" w:hAnsi="Times"/>
          <w:sz w:val="18"/>
          <w:szCs w:val="18"/>
        </w:rPr>
        <w:t>*</w:t>
      </w:r>
      <w:r w:rsidRPr="00840DEC">
        <w:rPr>
          <w:lang w:val="nl-NL"/>
        </w:rPr>
        <w:t xml:space="preserve"> </w:t>
      </w:r>
      <w:r>
        <w:rPr>
          <w:lang w:val="nl-NL"/>
        </w:rPr>
        <w:t>PhD, University of Amsterdam, Executive director Geoffrey Nice Foundation on law, History, Politics, and Society in the Context of Mass Atrocities; author, Prosecuting Slobodan Milo</w:t>
      </w:r>
      <w:r>
        <w:rPr>
          <w:lang w:val="hr-HR"/>
        </w:rPr>
        <w:t>š</w:t>
      </w:r>
      <w:r>
        <w:rPr>
          <w:lang w:val="nl-NL"/>
        </w:rPr>
        <w:t>evi’ (2016)/</w:t>
      </w:r>
    </w:p>
    <w:p w14:paraId="01678546" w14:textId="202C8E18"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 xml:space="preserve">The term “mass atocities trials” herein means trials based on international jurisdiction to deal with war crimes, crimes against humanity, genocide, and breaches of the customs of war. These types of trials have also been referred to as “war crimes trials” or  “international (criminal) trials”. </w:t>
      </w:r>
    </w:p>
  </w:footnote>
  <w:footnote w:id="2">
    <w:p w14:paraId="7B7089EB" w14:textId="29E14420"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 xml:space="preserve">The </w:t>
      </w:r>
      <w:r w:rsidRPr="00840DEC">
        <w:rPr>
          <w:rFonts w:ascii="Times" w:hAnsi="Times"/>
          <w:sz w:val="18"/>
          <w:szCs w:val="18"/>
          <w:lang w:val="nl-NL"/>
        </w:rPr>
        <w:t xml:space="preserve">first </w:t>
      </w:r>
      <w:r w:rsidRPr="00840DEC">
        <w:rPr>
          <w:rFonts w:ascii="Times" w:hAnsi="Times"/>
          <w:i/>
          <w:sz w:val="18"/>
          <w:szCs w:val="18"/>
          <w:lang w:val="nl-NL"/>
        </w:rPr>
        <w:t>ad hoc</w:t>
      </w:r>
      <w:r w:rsidRPr="00840DEC">
        <w:rPr>
          <w:rFonts w:ascii="Times" w:hAnsi="Times"/>
          <w:sz w:val="18"/>
          <w:szCs w:val="18"/>
          <w:lang w:val="nl-NL"/>
        </w:rPr>
        <w:t xml:space="preserve"> international criminal courts after the Cold War were the United Nations tribunals for Former Yugoslavia (ICTY) and Rwanda (ICTR). The tribunals for Cambodia, Sierra Leone, and Lebanon followed. The most recent </w:t>
      </w:r>
      <w:r w:rsidRPr="00840DEC">
        <w:rPr>
          <w:rFonts w:ascii="Times" w:hAnsi="Times"/>
          <w:i/>
          <w:sz w:val="18"/>
          <w:szCs w:val="18"/>
          <w:lang w:val="nl-NL"/>
        </w:rPr>
        <w:t>ad hoc</w:t>
      </w:r>
      <w:r w:rsidRPr="00840DEC">
        <w:rPr>
          <w:rFonts w:ascii="Times" w:hAnsi="Times"/>
          <w:sz w:val="18"/>
          <w:szCs w:val="18"/>
          <w:lang w:val="nl-NL"/>
        </w:rPr>
        <w:t xml:space="preserve"> tribunal, the Kosovo Special Chamber, became operational in 2016, and has yet to issue its first indictment. In 2002 the first permanant international criminal court, International Criminal Court (ICC), was founded.</w:t>
      </w:r>
    </w:p>
  </w:footnote>
  <w:footnote w:id="3">
    <w:p w14:paraId="2768051E" w14:textId="50974F26"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T</w:t>
      </w:r>
      <w:r w:rsidRPr="00840DEC">
        <w:rPr>
          <w:rFonts w:ascii="Times" w:hAnsi="Times"/>
          <w:sz w:val="18"/>
          <w:szCs w:val="18"/>
          <w:lang w:val="nl-NL"/>
        </w:rPr>
        <w:t>he ICTY trial against the Serbian President Slobodan Milo</w:t>
      </w:r>
      <w:r w:rsidRPr="00840DEC">
        <w:rPr>
          <w:rFonts w:ascii="Times" w:hAnsi="Times"/>
          <w:sz w:val="18"/>
          <w:szCs w:val="18"/>
          <w:lang w:val="hr-HR"/>
        </w:rPr>
        <w:t>š</w:t>
      </w:r>
      <w:r w:rsidRPr="00840DEC">
        <w:rPr>
          <w:rFonts w:ascii="Times" w:hAnsi="Times"/>
          <w:sz w:val="18"/>
          <w:szCs w:val="18"/>
          <w:lang w:val="nl-NL"/>
        </w:rPr>
        <w:t>ević that lasted from 2002 to 2006 was perhaps the best known unfinished trial.</w:t>
      </w:r>
    </w:p>
  </w:footnote>
  <w:footnote w:id="4">
    <w:p w14:paraId="5C9921F2" w14:textId="0D1E6F61"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The International Criminal Tribunal for Former Yugoslavia (ICTY) was initially mandated to put an end to crimes and to take effective measures to bring to justice the persons responsible for them. United Nations Security Council Resolution 827 of May 1993 enlarged this mandate, stating that the establishment of ICTY “will contribute to ensuring that such violations of international humanitarian law are halted and effectively redressed”. The same Resolution confirmed that one objective of the ICTY was “to contribute to the restoration and maintenance of peace”. See: </w:t>
      </w:r>
      <w:r w:rsidRPr="00840DEC">
        <w:rPr>
          <w:rFonts w:ascii="Times" w:hAnsi="Times"/>
          <w:sz w:val="18"/>
          <w:szCs w:val="18"/>
          <w:lang w:val="en-US"/>
        </w:rPr>
        <w:t xml:space="preserve">United Nations Security Council, Resolution 827, S/RES/827, 20 May 1993.  </w:t>
      </w:r>
    </w:p>
  </w:footnote>
  <w:footnote w:id="5">
    <w:p w14:paraId="79B816C7" w14:textId="70CCBC54"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In 1945, </w:t>
      </w:r>
      <w:r w:rsidRPr="00840DEC">
        <w:rPr>
          <w:rFonts w:ascii="Times" w:hAnsi="Times"/>
          <w:i/>
          <w:iCs/>
          <w:sz w:val="18"/>
          <w:szCs w:val="18"/>
        </w:rPr>
        <w:t xml:space="preserve">ad hoc </w:t>
      </w:r>
      <w:r w:rsidRPr="00840DEC">
        <w:rPr>
          <w:rFonts w:ascii="Times" w:hAnsi="Times"/>
          <w:sz w:val="18"/>
          <w:szCs w:val="18"/>
        </w:rPr>
        <w:t>military tribunals in Nuremberg and Tokyo were established to try high-level German and Japanese perpetrators, for example. But it was not until nearly the end of the twentieth century that international political circumstances allowed for the establishment of another international</w:t>
      </w:r>
      <w:r w:rsidRPr="00840DEC">
        <w:rPr>
          <w:rFonts w:ascii="Times" w:hAnsi="Times"/>
          <w:i/>
          <w:sz w:val="18"/>
          <w:szCs w:val="18"/>
        </w:rPr>
        <w:t xml:space="preserve"> </w:t>
      </w:r>
      <w:r w:rsidRPr="00840DEC">
        <w:rPr>
          <w:rFonts w:ascii="Times" w:hAnsi="Times"/>
          <w:sz w:val="18"/>
          <w:szCs w:val="18"/>
        </w:rPr>
        <w:t>tribunal, to address individual criminal responsibility for crimes committed in the former Yugoslav republics.</w:t>
      </w:r>
    </w:p>
  </w:footnote>
  <w:footnote w:id="6">
    <w:p w14:paraId="264ED6A4" w14:textId="0D023FAC" w:rsidR="00D435DA" w:rsidRPr="00840DEC" w:rsidRDefault="00D435DA" w:rsidP="00207C82">
      <w:pPr>
        <w:rPr>
          <w:rFonts w:ascii="Times" w:eastAsiaTheme="minorHAnsi"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For discussion on this debate in general, see: H. Arendt, </w:t>
      </w:r>
      <w:r w:rsidRPr="00840DEC">
        <w:rPr>
          <w:rFonts w:ascii="Times" w:hAnsi="Times"/>
          <w:i/>
          <w:iCs/>
          <w:sz w:val="18"/>
          <w:szCs w:val="18"/>
        </w:rPr>
        <w:t>Eichmann in Jerusalem: A Report on the Banality of Evil</w:t>
      </w:r>
      <w:r w:rsidRPr="00840DEC">
        <w:rPr>
          <w:rFonts w:ascii="Times" w:hAnsi="Times"/>
          <w:sz w:val="18"/>
          <w:szCs w:val="18"/>
        </w:rPr>
        <w:t xml:space="preserve"> (1963); L. </w:t>
      </w:r>
      <w:proofErr w:type="spellStart"/>
      <w:r w:rsidRPr="00840DEC">
        <w:rPr>
          <w:rFonts w:ascii="Times" w:hAnsi="Times"/>
          <w:sz w:val="18"/>
          <w:szCs w:val="18"/>
        </w:rPr>
        <w:t>Bilsky</w:t>
      </w:r>
      <w:proofErr w:type="spellEnd"/>
      <w:r w:rsidRPr="00840DEC">
        <w:rPr>
          <w:rFonts w:ascii="Times" w:hAnsi="Times"/>
          <w:sz w:val="18"/>
          <w:szCs w:val="18"/>
        </w:rPr>
        <w:t xml:space="preserve">, </w:t>
      </w:r>
      <w:r w:rsidRPr="00840DEC">
        <w:rPr>
          <w:rFonts w:ascii="Times" w:hAnsi="Times"/>
          <w:i/>
          <w:sz w:val="18"/>
          <w:szCs w:val="18"/>
        </w:rPr>
        <w:t>Transformative Justice</w:t>
      </w:r>
      <w:r w:rsidRPr="00840DEC">
        <w:rPr>
          <w:rFonts w:ascii="Times" w:hAnsi="Times"/>
          <w:sz w:val="18"/>
          <w:szCs w:val="18"/>
        </w:rPr>
        <w:t>:</w:t>
      </w:r>
      <w:r w:rsidRPr="00840DEC">
        <w:rPr>
          <w:rFonts w:ascii="Times" w:hAnsi="Times"/>
          <w:i/>
          <w:sz w:val="18"/>
          <w:szCs w:val="18"/>
        </w:rPr>
        <w:t xml:space="preserve"> Israeli Identity on Trial</w:t>
      </w:r>
      <w:r w:rsidRPr="00840DEC">
        <w:rPr>
          <w:rFonts w:ascii="Times" w:hAnsi="Times"/>
          <w:sz w:val="18"/>
          <w:szCs w:val="18"/>
        </w:rPr>
        <w:t xml:space="preserve"> (2004); I. </w:t>
      </w:r>
      <w:proofErr w:type="spellStart"/>
      <w:r w:rsidRPr="00840DEC">
        <w:rPr>
          <w:rFonts w:ascii="Times" w:hAnsi="Times"/>
          <w:sz w:val="18"/>
          <w:szCs w:val="18"/>
        </w:rPr>
        <w:t>Buruma</w:t>
      </w:r>
      <w:proofErr w:type="spellEnd"/>
      <w:r w:rsidRPr="00840DEC">
        <w:rPr>
          <w:rFonts w:ascii="Times" w:hAnsi="Times"/>
          <w:sz w:val="18"/>
          <w:szCs w:val="18"/>
        </w:rPr>
        <w:t xml:space="preserve">, </w:t>
      </w:r>
      <w:r w:rsidRPr="00840DEC">
        <w:rPr>
          <w:rFonts w:ascii="Times" w:hAnsi="Times"/>
          <w:bCs/>
          <w:i/>
          <w:color w:val="262626"/>
          <w:sz w:val="18"/>
          <w:szCs w:val="18"/>
        </w:rPr>
        <w:t xml:space="preserve">Wages of Guilt: Memories of War in Germany and Japan </w:t>
      </w:r>
      <w:r w:rsidRPr="00840DEC">
        <w:rPr>
          <w:rFonts w:ascii="Times" w:hAnsi="Times"/>
          <w:bCs/>
          <w:color w:val="262626"/>
          <w:sz w:val="18"/>
          <w:szCs w:val="18"/>
        </w:rPr>
        <w:t xml:space="preserve">(1995); </w:t>
      </w:r>
      <w:r w:rsidRPr="00840DEC">
        <w:rPr>
          <w:rFonts w:ascii="Times" w:hAnsi="Times"/>
          <w:sz w:val="18"/>
          <w:szCs w:val="18"/>
        </w:rPr>
        <w:t xml:space="preserve">L. Douglas, </w:t>
      </w:r>
      <w:r w:rsidRPr="00840DEC">
        <w:rPr>
          <w:rFonts w:ascii="Times" w:hAnsi="Times"/>
          <w:i/>
          <w:iCs/>
          <w:sz w:val="18"/>
          <w:szCs w:val="18"/>
        </w:rPr>
        <w:t xml:space="preserve">The Memory of Judgment: Making Law and History in the Trials of the Holocaust </w:t>
      </w:r>
      <w:r w:rsidRPr="00840DEC">
        <w:rPr>
          <w:rFonts w:ascii="Times" w:hAnsi="Times"/>
          <w:iCs/>
          <w:sz w:val="18"/>
          <w:szCs w:val="18"/>
        </w:rPr>
        <w:t>(2001)</w:t>
      </w:r>
      <w:r w:rsidRPr="00840DEC">
        <w:rPr>
          <w:rFonts w:ascii="Times" w:hAnsi="Times"/>
          <w:sz w:val="18"/>
          <w:szCs w:val="18"/>
        </w:rPr>
        <w:t xml:space="preserve">; </w:t>
      </w:r>
      <w:r w:rsidRPr="00840DEC">
        <w:rPr>
          <w:rFonts w:ascii="Times" w:hAnsi="Times"/>
          <w:sz w:val="18"/>
          <w:szCs w:val="18"/>
          <w:lang w:val="hr-HR"/>
        </w:rPr>
        <w:t>F. Gaynor, “</w:t>
      </w:r>
      <w:r w:rsidRPr="00840DEC">
        <w:rPr>
          <w:rFonts w:ascii="Times" w:hAnsi="Times"/>
          <w:sz w:val="18"/>
          <w:szCs w:val="18"/>
        </w:rPr>
        <w:t xml:space="preserve">Uneasy Partners: Evidence, Truth and History in International Trials”, </w:t>
      </w:r>
      <w:r w:rsidRPr="00840DEC">
        <w:rPr>
          <w:rFonts w:ascii="Times" w:hAnsi="Times"/>
          <w:i/>
          <w:sz w:val="18"/>
          <w:szCs w:val="18"/>
        </w:rPr>
        <w:t>Journal of International Criminal Justice</w:t>
      </w:r>
      <w:r w:rsidRPr="00840DEC">
        <w:rPr>
          <w:rFonts w:ascii="Times" w:hAnsi="Times"/>
          <w:sz w:val="18"/>
          <w:szCs w:val="18"/>
        </w:rPr>
        <w:t xml:space="preserve">, X (2012), pp. 1257-1275. C. Maier, “Doing History, Doing Justice: The Narrative of the Historian and of the Truth Commissions”, in R. I. </w:t>
      </w:r>
      <w:proofErr w:type="spellStart"/>
      <w:r w:rsidRPr="00840DEC">
        <w:rPr>
          <w:rFonts w:ascii="Times" w:hAnsi="Times"/>
          <w:sz w:val="18"/>
          <w:szCs w:val="18"/>
        </w:rPr>
        <w:t>Rotberg</w:t>
      </w:r>
      <w:proofErr w:type="spellEnd"/>
      <w:r w:rsidRPr="00840DEC">
        <w:rPr>
          <w:rFonts w:ascii="Times" w:hAnsi="Times"/>
          <w:sz w:val="18"/>
          <w:szCs w:val="18"/>
        </w:rPr>
        <w:t xml:space="preserve"> and D. Thompson, </w:t>
      </w:r>
      <w:r w:rsidRPr="00840DEC">
        <w:rPr>
          <w:rFonts w:ascii="Times" w:hAnsi="Times"/>
          <w:i/>
          <w:iCs/>
          <w:sz w:val="18"/>
          <w:szCs w:val="18"/>
        </w:rPr>
        <w:t>Truth v. Justice: The Morality of Truth Commissions</w:t>
      </w:r>
      <w:r w:rsidRPr="00840DEC">
        <w:rPr>
          <w:rFonts w:ascii="Times" w:hAnsi="Times"/>
          <w:sz w:val="18"/>
          <w:szCs w:val="18"/>
        </w:rPr>
        <w:t xml:space="preserve"> (2000), pp. 261-278; M. R. </w:t>
      </w:r>
      <w:proofErr w:type="spellStart"/>
      <w:r w:rsidRPr="00840DEC">
        <w:rPr>
          <w:rFonts w:ascii="Times" w:hAnsi="Times"/>
          <w:sz w:val="18"/>
          <w:szCs w:val="18"/>
        </w:rPr>
        <w:t>Marrus</w:t>
      </w:r>
      <w:proofErr w:type="spellEnd"/>
      <w:r w:rsidRPr="00840DEC">
        <w:rPr>
          <w:rFonts w:ascii="Times" w:hAnsi="Times"/>
          <w:sz w:val="18"/>
          <w:szCs w:val="18"/>
        </w:rPr>
        <w:t xml:space="preserve">, “History and the Holocaust in the Courtroom,” in </w:t>
      </w:r>
      <w:r w:rsidRPr="00840DEC">
        <w:rPr>
          <w:rFonts w:ascii="Times" w:hAnsi="Times"/>
          <w:i/>
          <w:iCs/>
          <w:color w:val="000000"/>
          <w:sz w:val="18"/>
          <w:szCs w:val="18"/>
        </w:rPr>
        <w:t xml:space="preserve">Lessons </w:t>
      </w:r>
      <w:r w:rsidRPr="00840DEC">
        <w:rPr>
          <w:rFonts w:ascii="Times" w:hAnsi="Times" w:cs="Times New Roman"/>
          <w:i/>
          <w:iCs/>
          <w:color w:val="000000"/>
          <w:sz w:val="18"/>
          <w:szCs w:val="18"/>
        </w:rPr>
        <w:t>and Legacies</w:t>
      </w:r>
      <w:r w:rsidRPr="00840DEC">
        <w:rPr>
          <w:rFonts w:ascii="Times" w:hAnsi="Times" w:cs="Times New Roman"/>
          <w:color w:val="000000"/>
          <w:sz w:val="18"/>
          <w:szCs w:val="18"/>
        </w:rPr>
        <w:t xml:space="preserve">, ed., R.M. </w:t>
      </w:r>
      <w:proofErr w:type="spellStart"/>
      <w:r w:rsidRPr="00840DEC">
        <w:rPr>
          <w:rFonts w:ascii="Times" w:hAnsi="Times" w:cs="Times New Roman"/>
          <w:color w:val="000000"/>
          <w:sz w:val="18"/>
          <w:szCs w:val="18"/>
        </w:rPr>
        <w:t>Smelser</w:t>
      </w:r>
      <w:proofErr w:type="spellEnd"/>
      <w:r w:rsidRPr="00840DEC">
        <w:rPr>
          <w:rFonts w:ascii="Times" w:hAnsi="Times" w:cs="Times New Roman"/>
          <w:color w:val="000000"/>
          <w:sz w:val="18"/>
          <w:szCs w:val="18"/>
        </w:rPr>
        <w:t xml:space="preserve">, vol. 5, </w:t>
      </w:r>
      <w:r w:rsidRPr="00840DEC">
        <w:rPr>
          <w:rFonts w:ascii="Times" w:hAnsi="Times" w:cs="Times New Roman"/>
          <w:i/>
          <w:iCs/>
          <w:color w:val="000000"/>
          <w:sz w:val="18"/>
          <w:szCs w:val="18"/>
        </w:rPr>
        <w:t>The Holocaust and Justice</w:t>
      </w:r>
      <w:r w:rsidRPr="00840DEC">
        <w:rPr>
          <w:rFonts w:ascii="Times" w:hAnsi="Times" w:cs="Times New Roman"/>
          <w:color w:val="000000"/>
          <w:sz w:val="18"/>
          <w:szCs w:val="18"/>
        </w:rPr>
        <w:t xml:space="preserve"> (2002), pp. 215–239; G. Nice, </w:t>
      </w:r>
      <w:r w:rsidRPr="00840DEC">
        <w:rPr>
          <w:rFonts w:ascii="Times" w:hAnsi="Times" w:cs="Times New Roman"/>
          <w:i/>
          <w:color w:val="000000"/>
          <w:sz w:val="18"/>
          <w:szCs w:val="18"/>
        </w:rPr>
        <w:t>Justice for All and How to Achieve it</w:t>
      </w:r>
      <w:r w:rsidRPr="00840DEC">
        <w:rPr>
          <w:rFonts w:ascii="Times" w:hAnsi="Times" w:cs="Times New Roman"/>
          <w:color w:val="000000"/>
          <w:sz w:val="18"/>
          <w:szCs w:val="18"/>
        </w:rPr>
        <w:t xml:space="preserve"> (2017); Mark </w:t>
      </w:r>
      <w:proofErr w:type="spellStart"/>
      <w:r w:rsidRPr="00840DEC">
        <w:rPr>
          <w:rFonts w:ascii="Times" w:hAnsi="Times" w:cs="Times New Roman"/>
          <w:color w:val="000000"/>
          <w:sz w:val="18"/>
          <w:szCs w:val="18"/>
        </w:rPr>
        <w:t>Osiel</w:t>
      </w:r>
      <w:proofErr w:type="spellEnd"/>
      <w:r w:rsidRPr="00840DEC">
        <w:rPr>
          <w:rFonts w:ascii="Times" w:hAnsi="Times" w:cs="Times New Roman"/>
          <w:color w:val="000000"/>
          <w:sz w:val="18"/>
          <w:szCs w:val="18"/>
        </w:rPr>
        <w:t>,</w:t>
      </w:r>
      <w:r w:rsidRPr="00840DEC">
        <w:rPr>
          <w:rFonts w:ascii="Times" w:hAnsi="Times" w:cs="Times New Roman"/>
          <w:i/>
          <w:iCs/>
          <w:color w:val="000000"/>
          <w:sz w:val="18"/>
          <w:szCs w:val="18"/>
        </w:rPr>
        <w:t xml:space="preserve"> </w:t>
      </w:r>
      <w:r w:rsidRPr="00840DEC">
        <w:rPr>
          <w:rFonts w:ascii="Times" w:eastAsiaTheme="minorHAnsi" w:hAnsi="Times" w:cs="Times New Roman"/>
          <w:i/>
          <w:iCs/>
          <w:sz w:val="18"/>
          <w:szCs w:val="18"/>
        </w:rPr>
        <w:t>Mass Atrocity, Collective Memory and the Law</w:t>
      </w:r>
      <w:r w:rsidRPr="00840DEC">
        <w:rPr>
          <w:rFonts w:ascii="Times" w:hAnsi="Times" w:cs="Times New Roman"/>
          <w:i/>
          <w:iCs/>
          <w:color w:val="000000"/>
          <w:sz w:val="18"/>
          <w:szCs w:val="18"/>
        </w:rPr>
        <w:t xml:space="preserve"> </w:t>
      </w:r>
      <w:r w:rsidRPr="00840DEC">
        <w:rPr>
          <w:rFonts w:ascii="Times" w:hAnsi="Times" w:cs="Times New Roman"/>
          <w:iCs/>
          <w:color w:val="000000"/>
          <w:sz w:val="18"/>
          <w:szCs w:val="18"/>
        </w:rPr>
        <w:t>(1997);</w:t>
      </w:r>
      <w:r w:rsidRPr="00840DEC">
        <w:rPr>
          <w:rFonts w:ascii="Times" w:hAnsi="Times" w:cs="Times New Roman"/>
          <w:color w:val="000000"/>
          <w:sz w:val="18"/>
          <w:szCs w:val="18"/>
        </w:rPr>
        <w:t xml:space="preserve"> </w:t>
      </w:r>
      <w:r w:rsidRPr="00840DEC">
        <w:rPr>
          <w:rFonts w:ascii="Times" w:hAnsi="Times" w:cs="Times New Roman"/>
          <w:sz w:val="18"/>
          <w:szCs w:val="18"/>
        </w:rPr>
        <w:t>Gerry Simpson, “Didactic and Dissident Histories in War Crimes Trials</w:t>
      </w:r>
      <w:r w:rsidRPr="00840DEC">
        <w:rPr>
          <w:rFonts w:ascii="Times" w:hAnsi="Times" w:cs="Times New Roman"/>
          <w:color w:val="000000"/>
          <w:sz w:val="18"/>
          <w:szCs w:val="18"/>
        </w:rPr>
        <w:t>”,</w:t>
      </w:r>
      <w:r w:rsidRPr="00840DEC">
        <w:rPr>
          <w:rFonts w:ascii="Times" w:eastAsiaTheme="minorHAnsi" w:hAnsi="Times" w:cs="Times New Roman"/>
          <w:i/>
          <w:iCs/>
          <w:sz w:val="18"/>
          <w:szCs w:val="18"/>
        </w:rPr>
        <w:t xml:space="preserve"> Albany Law Review, </w:t>
      </w:r>
      <w:r w:rsidRPr="00840DEC">
        <w:rPr>
          <w:rFonts w:ascii="Times" w:eastAsiaTheme="minorHAnsi" w:hAnsi="Times" w:cs="Times New Roman"/>
          <w:sz w:val="18"/>
          <w:szCs w:val="18"/>
        </w:rPr>
        <w:t>LX (1997), pp. 801-839</w:t>
      </w:r>
      <w:r w:rsidRPr="00840DEC">
        <w:rPr>
          <w:rFonts w:ascii="Times" w:hAnsi="Times" w:cs="Times New Roman"/>
          <w:color w:val="000000"/>
          <w:sz w:val="18"/>
          <w:szCs w:val="18"/>
        </w:rPr>
        <w:t xml:space="preserve">; R. </w:t>
      </w:r>
      <w:proofErr w:type="spellStart"/>
      <w:r w:rsidRPr="00840DEC">
        <w:rPr>
          <w:rFonts w:ascii="Times" w:hAnsi="Times" w:cs="Times New Roman"/>
          <w:color w:val="000000"/>
          <w:sz w:val="18"/>
          <w:szCs w:val="18"/>
        </w:rPr>
        <w:t>Teitel</w:t>
      </w:r>
      <w:proofErr w:type="spellEnd"/>
      <w:r w:rsidRPr="00840DEC">
        <w:rPr>
          <w:rFonts w:ascii="Times" w:hAnsi="Times" w:cs="Times New Roman"/>
          <w:color w:val="000000"/>
          <w:sz w:val="18"/>
          <w:szCs w:val="18"/>
        </w:rPr>
        <w:t xml:space="preserve">, </w:t>
      </w:r>
      <w:r w:rsidRPr="00840DEC">
        <w:rPr>
          <w:rFonts w:ascii="Times" w:hAnsi="Times" w:cs="Times New Roman"/>
          <w:i/>
          <w:iCs/>
          <w:color w:val="000000"/>
          <w:sz w:val="18"/>
          <w:szCs w:val="18"/>
        </w:rPr>
        <w:t>Transitional Justice</w:t>
      </w:r>
      <w:r w:rsidRPr="00840DEC">
        <w:rPr>
          <w:rFonts w:ascii="Times" w:hAnsi="Times" w:cs="Times New Roman"/>
          <w:sz w:val="18"/>
          <w:szCs w:val="18"/>
        </w:rPr>
        <w:t xml:space="preserve"> (2000); </w:t>
      </w:r>
      <w:r w:rsidRPr="00840DEC">
        <w:rPr>
          <w:rFonts w:ascii="Times" w:eastAsia="MS Mincho" w:hAnsi="Times" w:cs="Times New Roman"/>
          <w:sz w:val="18"/>
          <w:szCs w:val="18"/>
        </w:rPr>
        <w:t xml:space="preserve">W. A. </w:t>
      </w:r>
      <w:proofErr w:type="spellStart"/>
      <w:r w:rsidRPr="00840DEC">
        <w:rPr>
          <w:rFonts w:ascii="Times" w:eastAsia="MS Mincho" w:hAnsi="Times" w:cs="Times New Roman"/>
          <w:sz w:val="18"/>
          <w:szCs w:val="18"/>
        </w:rPr>
        <w:t>Schabas</w:t>
      </w:r>
      <w:proofErr w:type="spellEnd"/>
      <w:r w:rsidRPr="00840DEC">
        <w:rPr>
          <w:rFonts w:ascii="Times" w:eastAsia="MS Mincho" w:hAnsi="Times" w:cs="Times New Roman"/>
          <w:sz w:val="18"/>
          <w:szCs w:val="18"/>
        </w:rPr>
        <w:t xml:space="preserve">, </w:t>
      </w:r>
      <w:r w:rsidRPr="00840DEC">
        <w:rPr>
          <w:rFonts w:ascii="Times" w:eastAsia="MS Mincho" w:hAnsi="Times" w:cs="Times New Roman"/>
          <w:i/>
          <w:sz w:val="18"/>
          <w:szCs w:val="18"/>
        </w:rPr>
        <w:t>Unimaginable Atrocities</w:t>
      </w:r>
      <w:r w:rsidRPr="00840DEC">
        <w:rPr>
          <w:rFonts w:ascii="Times" w:hAnsi="Times" w:cs="Times New Roman"/>
          <w:i/>
          <w:sz w:val="18"/>
          <w:szCs w:val="18"/>
        </w:rPr>
        <w:t>:</w:t>
      </w:r>
      <w:r w:rsidRPr="00840DEC">
        <w:rPr>
          <w:rFonts w:ascii="Times" w:eastAsia="MS Mincho" w:hAnsi="Times" w:cs="Times New Roman"/>
          <w:i/>
          <w:sz w:val="18"/>
          <w:szCs w:val="18"/>
        </w:rPr>
        <w:t xml:space="preserve"> Justice, Politics, and Rights at the War Crimes Tribunals</w:t>
      </w:r>
      <w:r w:rsidRPr="00840DEC">
        <w:rPr>
          <w:rFonts w:ascii="Times" w:eastAsia="MS Mincho" w:hAnsi="Times" w:cs="Times New Roman"/>
          <w:sz w:val="18"/>
          <w:szCs w:val="18"/>
        </w:rPr>
        <w:t xml:space="preserve"> (2012);</w:t>
      </w:r>
      <w:r w:rsidRPr="00840DEC">
        <w:rPr>
          <w:rFonts w:ascii="Times" w:hAnsi="Times" w:cs="Times New Roman"/>
          <w:sz w:val="18"/>
          <w:szCs w:val="18"/>
        </w:rPr>
        <w:t xml:space="preserve"> N. Tromp, </w:t>
      </w:r>
      <w:r w:rsidRPr="00840DEC">
        <w:rPr>
          <w:rFonts w:ascii="Times" w:hAnsi="Times" w:cs="Times New Roman"/>
          <w:i/>
          <w:sz w:val="18"/>
          <w:szCs w:val="18"/>
        </w:rPr>
        <w:t>Prosecuting Slobodan Milo</w:t>
      </w:r>
      <w:r w:rsidRPr="00840DEC">
        <w:rPr>
          <w:rFonts w:ascii="Times" w:hAnsi="Times" w:cs="Times New Roman"/>
          <w:i/>
          <w:sz w:val="18"/>
          <w:szCs w:val="18"/>
          <w:lang w:val="hr-HR"/>
        </w:rPr>
        <w:t>š</w:t>
      </w:r>
      <w:proofErr w:type="spellStart"/>
      <w:r w:rsidRPr="00840DEC">
        <w:rPr>
          <w:rFonts w:ascii="Times" w:hAnsi="Times" w:cs="Times New Roman"/>
          <w:i/>
          <w:sz w:val="18"/>
          <w:szCs w:val="18"/>
        </w:rPr>
        <w:t>ević</w:t>
      </w:r>
      <w:proofErr w:type="spellEnd"/>
      <w:r w:rsidRPr="00840DEC">
        <w:rPr>
          <w:rFonts w:ascii="Times" w:hAnsi="Times" w:cs="Times New Roman"/>
          <w:i/>
          <w:sz w:val="18"/>
          <w:szCs w:val="18"/>
        </w:rPr>
        <w:t xml:space="preserve">; The Unfinished Trial </w:t>
      </w:r>
      <w:r w:rsidRPr="00840DEC">
        <w:rPr>
          <w:rFonts w:ascii="Times" w:hAnsi="Times" w:cs="Times New Roman"/>
          <w:sz w:val="18"/>
          <w:szCs w:val="18"/>
        </w:rPr>
        <w:t xml:space="preserve">(2016); R. Wilson, “Judging History: The Historical Record of the International Criminal Tribunal of the Former Yugoslavia”, </w:t>
      </w:r>
      <w:r w:rsidRPr="00840DEC">
        <w:rPr>
          <w:rFonts w:ascii="Times" w:hAnsi="Times" w:cs="Times New Roman"/>
          <w:i/>
          <w:sz w:val="18"/>
          <w:szCs w:val="18"/>
        </w:rPr>
        <w:t>Human Rights Quarterly</w:t>
      </w:r>
      <w:r w:rsidRPr="00840DEC">
        <w:rPr>
          <w:rFonts w:ascii="Times" w:hAnsi="Times" w:cs="Times New Roman"/>
          <w:sz w:val="18"/>
          <w:szCs w:val="18"/>
        </w:rPr>
        <w:t xml:space="preserve">, XXVII (2005); R. Wilson, </w:t>
      </w:r>
      <w:r w:rsidRPr="00840DEC">
        <w:rPr>
          <w:rFonts w:ascii="Times" w:hAnsi="Times" w:cs="Times New Roman"/>
          <w:i/>
          <w:color w:val="000000"/>
          <w:sz w:val="18"/>
          <w:szCs w:val="18"/>
        </w:rPr>
        <w:t>Writing History in International</w:t>
      </w:r>
      <w:r w:rsidRPr="00840DEC">
        <w:rPr>
          <w:rFonts w:ascii="Times" w:hAnsi="Times"/>
          <w:i/>
          <w:color w:val="000000"/>
          <w:sz w:val="18"/>
          <w:szCs w:val="18"/>
        </w:rPr>
        <w:t xml:space="preserve"> Criminal Tribunals</w:t>
      </w:r>
      <w:r w:rsidRPr="00840DEC">
        <w:rPr>
          <w:rFonts w:ascii="Times" w:hAnsi="Times"/>
          <w:color w:val="000000"/>
          <w:sz w:val="18"/>
          <w:szCs w:val="18"/>
        </w:rPr>
        <w:t xml:space="preserve"> (2011).</w:t>
      </w:r>
      <w:r w:rsidRPr="00840DEC">
        <w:rPr>
          <w:rFonts w:ascii="Times" w:hAnsi="Times"/>
          <w:sz w:val="18"/>
          <w:szCs w:val="18"/>
        </w:rPr>
        <w:t xml:space="preserve"> </w:t>
      </w:r>
    </w:p>
  </w:footnote>
  <w:footnote w:id="7">
    <w:p w14:paraId="398D1F48" w14:textId="07B5512C" w:rsidR="00D435DA" w:rsidRPr="00840DEC" w:rsidRDefault="00D435DA" w:rsidP="00207C82">
      <w:pPr>
        <w:pStyle w:val="FootnoteText"/>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Hannah Arendt quotes – with approval - Nuremberg Executive Trial Counsel Robert Storey that “the purpose of a trial is to render justice, to mete out punishment, and nothing else”, in Arendt, </w:t>
      </w:r>
      <w:proofErr w:type="gramStart"/>
      <w:r w:rsidRPr="00840DEC">
        <w:rPr>
          <w:rFonts w:ascii="Times" w:hAnsi="Times"/>
          <w:sz w:val="18"/>
          <w:szCs w:val="18"/>
        </w:rPr>
        <w:t>Ibid.,</w:t>
      </w:r>
      <w:proofErr w:type="gramEnd"/>
      <w:r w:rsidRPr="00840DEC">
        <w:rPr>
          <w:rFonts w:ascii="Times" w:hAnsi="Times"/>
          <w:sz w:val="18"/>
          <w:szCs w:val="18"/>
        </w:rPr>
        <w:t xml:space="preserve"> p. 233.</w:t>
      </w:r>
    </w:p>
  </w:footnote>
  <w:footnote w:id="8">
    <w:p w14:paraId="75F5CE7E" w14:textId="0954FF81" w:rsidR="00D435DA" w:rsidRPr="00840DEC" w:rsidRDefault="00D435DA" w:rsidP="00207C82">
      <w:pPr>
        <w:pStyle w:val="FootnoteText"/>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w:t>
      </w:r>
      <w:proofErr w:type="spellStart"/>
      <w:r w:rsidRPr="00840DEC">
        <w:rPr>
          <w:rFonts w:ascii="Times" w:hAnsi="Times"/>
          <w:sz w:val="18"/>
          <w:szCs w:val="18"/>
        </w:rPr>
        <w:t>Buruma</w:t>
      </w:r>
      <w:proofErr w:type="spellEnd"/>
      <w:r w:rsidRPr="00840DEC">
        <w:rPr>
          <w:rFonts w:ascii="Times" w:hAnsi="Times"/>
          <w:sz w:val="18"/>
          <w:szCs w:val="18"/>
        </w:rPr>
        <w:t xml:space="preserve">, </w:t>
      </w:r>
      <w:r w:rsidRPr="00840DEC">
        <w:rPr>
          <w:rFonts w:ascii="Times" w:hAnsi="Times"/>
          <w:bCs/>
          <w:color w:val="262626"/>
          <w:sz w:val="18"/>
          <w:szCs w:val="18"/>
          <w:lang w:val="en-US"/>
        </w:rPr>
        <w:t>note 6 above, p. 142.</w:t>
      </w:r>
    </w:p>
  </w:footnote>
  <w:footnote w:id="9">
    <w:p w14:paraId="71FFA098" w14:textId="5E0E094B" w:rsidR="00D435DA" w:rsidRPr="00840DEC" w:rsidRDefault="00D435DA" w:rsidP="00207C82">
      <w:pPr>
        <w:widowControl w:val="0"/>
        <w:autoSpaceDE w:val="0"/>
        <w:autoSpaceDN w:val="0"/>
        <w:adjustRightInd w:val="0"/>
        <w:rPr>
          <w:rFonts w:ascii="Times" w:hAnsi="Times" w:cs="Times New Roman"/>
          <w:sz w:val="18"/>
          <w:szCs w:val="18"/>
          <w:lang w:val="nl-NL"/>
        </w:rPr>
      </w:pPr>
      <w:r w:rsidRPr="00840DEC">
        <w:rPr>
          <w:rStyle w:val="FootnoteReference"/>
          <w:rFonts w:ascii="Times" w:hAnsi="Times"/>
          <w:sz w:val="18"/>
          <w:szCs w:val="18"/>
        </w:rPr>
        <w:footnoteRef/>
      </w:r>
      <w:r w:rsidRPr="00840DEC">
        <w:rPr>
          <w:rFonts w:ascii="Times" w:hAnsi="Times" w:cs="Times New Roman"/>
          <w:sz w:val="18"/>
          <w:szCs w:val="18"/>
        </w:rPr>
        <w:t xml:space="preserve"> Gaynor, note 6 above, p. 1260. Gaynor quoted R. May and </w:t>
      </w:r>
      <w:proofErr w:type="spellStart"/>
      <w:r w:rsidRPr="00840DEC">
        <w:rPr>
          <w:rFonts w:ascii="Times" w:hAnsi="Times" w:cs="Times New Roman"/>
          <w:sz w:val="18"/>
          <w:szCs w:val="18"/>
        </w:rPr>
        <w:t>M.Wierda</w:t>
      </w:r>
      <w:proofErr w:type="spellEnd"/>
      <w:r w:rsidRPr="00840DEC">
        <w:rPr>
          <w:rFonts w:ascii="Times" w:hAnsi="Times" w:cs="Times New Roman"/>
          <w:sz w:val="18"/>
          <w:szCs w:val="18"/>
        </w:rPr>
        <w:t xml:space="preserve">, “Evidence before the ICTY”, in R. May, </w:t>
      </w:r>
      <w:proofErr w:type="spellStart"/>
      <w:r w:rsidRPr="00840DEC">
        <w:rPr>
          <w:rFonts w:ascii="Times" w:hAnsi="Times" w:cs="Times New Roman"/>
          <w:sz w:val="18"/>
          <w:szCs w:val="18"/>
        </w:rPr>
        <w:t>D.Tolbert</w:t>
      </w:r>
      <w:proofErr w:type="spellEnd"/>
      <w:r w:rsidRPr="00840DEC">
        <w:rPr>
          <w:rFonts w:ascii="Times" w:hAnsi="Times" w:cs="Times New Roman"/>
          <w:sz w:val="18"/>
          <w:szCs w:val="18"/>
        </w:rPr>
        <w:t xml:space="preserve"> and J. Hocking (eds.), </w:t>
      </w:r>
      <w:r w:rsidRPr="00840DEC">
        <w:rPr>
          <w:rFonts w:ascii="Times" w:hAnsi="Times" w:cs="Times New Roman"/>
          <w:i/>
          <w:sz w:val="18"/>
          <w:szCs w:val="18"/>
        </w:rPr>
        <w:t xml:space="preserve">Essays on the ICTY Procedure and Evidence: In </w:t>
      </w:r>
      <w:proofErr w:type="spellStart"/>
      <w:r w:rsidRPr="00840DEC">
        <w:rPr>
          <w:rFonts w:ascii="Times" w:hAnsi="Times" w:cs="Times New Roman"/>
          <w:i/>
          <w:sz w:val="18"/>
          <w:szCs w:val="18"/>
        </w:rPr>
        <w:t>Honour</w:t>
      </w:r>
      <w:proofErr w:type="spellEnd"/>
      <w:r w:rsidRPr="00840DEC">
        <w:rPr>
          <w:rFonts w:ascii="Times" w:hAnsi="Times" w:cs="Times New Roman"/>
          <w:i/>
          <w:sz w:val="18"/>
          <w:szCs w:val="18"/>
        </w:rPr>
        <w:t xml:space="preserve"> of Gabrielle Kirk McDonald</w:t>
      </w:r>
      <w:r w:rsidRPr="00840DEC">
        <w:rPr>
          <w:rFonts w:ascii="Times" w:hAnsi="Times" w:cs="Times New Roman"/>
          <w:sz w:val="18"/>
          <w:szCs w:val="18"/>
        </w:rPr>
        <w:t xml:space="preserve"> (2001), p. 253.</w:t>
      </w:r>
    </w:p>
  </w:footnote>
  <w:footnote w:id="10">
    <w:p w14:paraId="76C0EBEA" w14:textId="0E3399D7" w:rsidR="00D435DA" w:rsidRPr="00840DEC" w:rsidRDefault="00D435DA" w:rsidP="00207C82">
      <w:pPr>
        <w:pStyle w:val="NFootnotes"/>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International Military Tribunal, </w:t>
      </w:r>
      <w:r w:rsidRPr="00840DEC">
        <w:rPr>
          <w:rFonts w:ascii="Times" w:hAnsi="Times"/>
          <w:i/>
          <w:sz w:val="18"/>
          <w:szCs w:val="18"/>
        </w:rPr>
        <w:t>Trial of the Major War Criminals before the International Military Tribunal, Nuremberg, 14 November 1945-1 October 1946</w:t>
      </w:r>
      <w:r w:rsidRPr="00840DEC">
        <w:rPr>
          <w:rFonts w:ascii="Times" w:hAnsi="Times"/>
          <w:sz w:val="18"/>
          <w:szCs w:val="18"/>
        </w:rPr>
        <w:t xml:space="preserve"> (Nuremberg: International Military Tribunal, 1947-1949), III, p. 92.</w:t>
      </w:r>
    </w:p>
  </w:footnote>
  <w:footnote w:id="11">
    <w:p w14:paraId="62276438" w14:textId="23F51B9C"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Douglas, note 6 above, p. 3.</w:t>
      </w:r>
    </w:p>
  </w:footnote>
  <w:footnote w:id="12">
    <w:p w14:paraId="1C3CAE0F" w14:textId="7EF7D3E2"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Ibid.</w:t>
      </w:r>
    </w:p>
  </w:footnote>
  <w:footnote w:id="13">
    <w:p w14:paraId="6A75E8EB" w14:textId="5897E468"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lang w:val="en-US"/>
        </w:rPr>
        <w:t xml:space="preserve"> </w:t>
      </w:r>
      <w:proofErr w:type="spellStart"/>
      <w:r w:rsidRPr="00840DEC">
        <w:rPr>
          <w:rFonts w:ascii="Times" w:hAnsi="Times"/>
          <w:sz w:val="18"/>
          <w:szCs w:val="18"/>
          <w:lang w:val="en-US"/>
        </w:rPr>
        <w:t>Bilsky</w:t>
      </w:r>
      <w:proofErr w:type="spellEnd"/>
      <w:r w:rsidRPr="00840DEC">
        <w:rPr>
          <w:rFonts w:ascii="Times" w:hAnsi="Times"/>
          <w:sz w:val="18"/>
          <w:szCs w:val="18"/>
          <w:lang w:val="en-US"/>
        </w:rPr>
        <w:t>,</w:t>
      </w:r>
      <w:r w:rsidRPr="00840DEC">
        <w:rPr>
          <w:rFonts w:ascii="Times" w:hAnsi="Times"/>
          <w:i/>
          <w:sz w:val="18"/>
          <w:szCs w:val="18"/>
          <w:lang w:val="en-US"/>
        </w:rPr>
        <w:t xml:space="preserve"> </w:t>
      </w:r>
      <w:r w:rsidRPr="00840DEC">
        <w:rPr>
          <w:rFonts w:ascii="Times" w:hAnsi="Times"/>
          <w:sz w:val="18"/>
          <w:szCs w:val="18"/>
          <w:lang w:val="en-US"/>
        </w:rPr>
        <w:t>note 6 above, p. 7</w:t>
      </w:r>
      <w:r w:rsidRPr="00840DEC">
        <w:rPr>
          <w:rFonts w:ascii="Times" w:hAnsi="Times"/>
          <w:sz w:val="18"/>
          <w:szCs w:val="18"/>
        </w:rPr>
        <w:t>.</w:t>
      </w:r>
    </w:p>
  </w:footnote>
  <w:footnote w:id="14">
    <w:p w14:paraId="5EEE36A3" w14:textId="5CC39D8A"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Ibid.</w:t>
      </w:r>
    </w:p>
  </w:footnote>
  <w:footnote w:id="15">
    <w:p w14:paraId="73B2E61A" w14:textId="5C00C751"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w:t>
      </w:r>
      <w:proofErr w:type="gramStart"/>
      <w:r w:rsidRPr="00840DEC">
        <w:rPr>
          <w:rFonts w:ascii="Times" w:hAnsi="Times"/>
          <w:sz w:val="18"/>
          <w:szCs w:val="18"/>
        </w:rPr>
        <w:t>Ibid.,</w:t>
      </w:r>
      <w:proofErr w:type="gramEnd"/>
      <w:r w:rsidRPr="00840DEC">
        <w:rPr>
          <w:rFonts w:ascii="Times" w:hAnsi="Times"/>
          <w:sz w:val="18"/>
          <w:szCs w:val="18"/>
        </w:rPr>
        <w:t xml:space="preserve"> p. 8.</w:t>
      </w:r>
      <w:r w:rsidRPr="00840DEC">
        <w:rPr>
          <w:rFonts w:ascii="Times" w:hAnsi="Times"/>
          <w:sz w:val="18"/>
          <w:szCs w:val="18"/>
        </w:rPr>
        <w:tab/>
      </w:r>
    </w:p>
  </w:footnote>
  <w:footnote w:id="16">
    <w:p w14:paraId="313259F3" w14:textId="4E750B3E"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lang w:val="en-US"/>
        </w:rPr>
        <w:t xml:space="preserve"> </w:t>
      </w:r>
      <w:proofErr w:type="spellStart"/>
      <w:r w:rsidRPr="00840DEC">
        <w:rPr>
          <w:rFonts w:ascii="Times" w:hAnsi="Times"/>
          <w:color w:val="000000"/>
          <w:sz w:val="18"/>
          <w:szCs w:val="18"/>
        </w:rPr>
        <w:t>Teitel</w:t>
      </w:r>
      <w:proofErr w:type="spellEnd"/>
      <w:r w:rsidRPr="00840DEC">
        <w:rPr>
          <w:rFonts w:ascii="Times" w:hAnsi="Times"/>
          <w:color w:val="000000"/>
          <w:sz w:val="18"/>
          <w:szCs w:val="18"/>
        </w:rPr>
        <w:t xml:space="preserve">, </w:t>
      </w:r>
      <w:r w:rsidRPr="00840DEC">
        <w:rPr>
          <w:rFonts w:ascii="Times" w:hAnsi="Times"/>
          <w:sz w:val="18"/>
          <w:szCs w:val="18"/>
          <w:lang w:val="en-US"/>
        </w:rPr>
        <w:t>note 6 above, p. 70.</w:t>
      </w:r>
    </w:p>
  </w:footnote>
  <w:footnote w:id="17">
    <w:p w14:paraId="73B18555" w14:textId="387E8DCA"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color w:val="000000"/>
          <w:sz w:val="18"/>
          <w:szCs w:val="18"/>
        </w:rPr>
        <w:t xml:space="preserve"> </w:t>
      </w:r>
      <w:proofErr w:type="gramStart"/>
      <w:r w:rsidRPr="00840DEC">
        <w:rPr>
          <w:rFonts w:ascii="Times" w:hAnsi="Times"/>
          <w:color w:val="000000"/>
          <w:sz w:val="18"/>
          <w:szCs w:val="18"/>
        </w:rPr>
        <w:t>Ibid.,</w:t>
      </w:r>
      <w:proofErr w:type="gramEnd"/>
      <w:r w:rsidRPr="00840DEC">
        <w:rPr>
          <w:rFonts w:ascii="Times" w:hAnsi="Times"/>
          <w:color w:val="000000"/>
          <w:sz w:val="18"/>
          <w:szCs w:val="18"/>
        </w:rPr>
        <w:t xml:space="preserve"> p. </w:t>
      </w:r>
      <w:r w:rsidRPr="00840DEC">
        <w:rPr>
          <w:rFonts w:ascii="Times" w:hAnsi="Times"/>
          <w:sz w:val="18"/>
          <w:szCs w:val="18"/>
          <w:lang w:val="en-US"/>
        </w:rPr>
        <w:t>73.</w:t>
      </w:r>
    </w:p>
  </w:footnote>
  <w:footnote w:id="18">
    <w:p w14:paraId="7C5507B5" w14:textId="77777777"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lang w:val="en-US"/>
        </w:rPr>
        <w:t xml:space="preserve"> Ibid.</w:t>
      </w:r>
    </w:p>
  </w:footnote>
  <w:footnote w:id="19">
    <w:p w14:paraId="6515B871" w14:textId="77777777"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lang w:val="en-US"/>
        </w:rPr>
        <w:t xml:space="preserve"> Ibid.</w:t>
      </w:r>
    </w:p>
  </w:footnote>
  <w:footnote w:id="20">
    <w:p w14:paraId="0D51B37A" w14:textId="1D6B9DA8" w:rsidR="00D435DA" w:rsidRPr="00840DEC" w:rsidRDefault="00D435DA" w:rsidP="00207C82">
      <w:pPr>
        <w:pStyle w:val="FootnoteText"/>
        <w:rPr>
          <w:rFonts w:ascii="Times" w:hAnsi="Times"/>
          <w:sz w:val="18"/>
          <w:szCs w:val="18"/>
          <w:highlight w:val="red"/>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hr-HR"/>
        </w:rPr>
        <w:t xml:space="preserve">Gaynor, </w:t>
      </w:r>
      <w:r w:rsidRPr="00840DEC">
        <w:rPr>
          <w:rFonts w:ascii="Times" w:hAnsi="Times"/>
          <w:sz w:val="18"/>
          <w:szCs w:val="18"/>
        </w:rPr>
        <w:t>note 6 above, p. 1260</w:t>
      </w:r>
    </w:p>
  </w:footnote>
  <w:footnote w:id="21">
    <w:p w14:paraId="125EFC6E" w14:textId="0A3651A9" w:rsidR="00D435DA" w:rsidRPr="00840DEC" w:rsidRDefault="00D435DA" w:rsidP="00207C82">
      <w:pPr>
        <w:pStyle w:val="FootnoteText"/>
        <w:rPr>
          <w:rFonts w:ascii="Times" w:hAnsi="Times"/>
          <w:sz w:val="18"/>
          <w:szCs w:val="18"/>
          <w:highlight w:val="red"/>
          <w:lang w:val="nl-NL"/>
        </w:rPr>
      </w:pPr>
      <w:r w:rsidRPr="00840DEC">
        <w:rPr>
          <w:rStyle w:val="FootnoteReference"/>
          <w:rFonts w:ascii="Times" w:hAnsi="Times"/>
          <w:sz w:val="18"/>
          <w:szCs w:val="18"/>
        </w:rPr>
        <w:footnoteRef/>
      </w:r>
      <w:r w:rsidRPr="00840DEC">
        <w:rPr>
          <w:rFonts w:ascii="Times" w:hAnsi="Times"/>
          <w:sz w:val="18"/>
          <w:szCs w:val="18"/>
        </w:rPr>
        <w:t xml:space="preserve"> </w:t>
      </w:r>
      <w:proofErr w:type="gramStart"/>
      <w:r w:rsidRPr="00840DEC">
        <w:rPr>
          <w:rFonts w:ascii="Times" w:hAnsi="Times"/>
          <w:sz w:val="18"/>
          <w:szCs w:val="18"/>
        </w:rPr>
        <w:t>Ibid.,</w:t>
      </w:r>
      <w:proofErr w:type="gramEnd"/>
      <w:r w:rsidRPr="00840DEC">
        <w:rPr>
          <w:rFonts w:ascii="Times" w:hAnsi="Times"/>
          <w:sz w:val="18"/>
          <w:szCs w:val="18"/>
        </w:rPr>
        <w:t xml:space="preserve"> p. 1259.</w:t>
      </w:r>
    </w:p>
  </w:footnote>
  <w:footnote w:id="22">
    <w:p w14:paraId="6106C8C6" w14:textId="4B527ACE"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B. V. A. </w:t>
      </w:r>
      <w:proofErr w:type="spellStart"/>
      <w:r w:rsidRPr="00840DEC">
        <w:rPr>
          <w:rFonts w:ascii="Times" w:hAnsi="Times"/>
          <w:sz w:val="18"/>
          <w:szCs w:val="18"/>
        </w:rPr>
        <w:t>Röling</w:t>
      </w:r>
      <w:proofErr w:type="spellEnd"/>
      <w:r w:rsidRPr="00840DEC">
        <w:rPr>
          <w:rFonts w:ascii="Times" w:hAnsi="Times"/>
          <w:sz w:val="18"/>
          <w:szCs w:val="18"/>
        </w:rPr>
        <w:t xml:space="preserve"> and A. Cassese, </w:t>
      </w:r>
      <w:r w:rsidRPr="00840DEC">
        <w:rPr>
          <w:rFonts w:ascii="Times" w:hAnsi="Times"/>
          <w:i/>
          <w:sz w:val="18"/>
          <w:szCs w:val="18"/>
        </w:rPr>
        <w:t>The Tokyo Trial and Beyond</w:t>
      </w:r>
      <w:r w:rsidRPr="00840DEC">
        <w:rPr>
          <w:rFonts w:ascii="Times" w:hAnsi="Times"/>
          <w:sz w:val="18"/>
          <w:szCs w:val="18"/>
        </w:rPr>
        <w:t xml:space="preserve"> (1993), p. 50. </w:t>
      </w:r>
    </w:p>
  </w:footnote>
  <w:footnote w:id="23">
    <w:p w14:paraId="5C513257" w14:textId="77777777"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Sir Geoffrey’s lecture at Master Class on Law, History, Politics and Society in the Context of Mass Atrocities, Dubrovnik, 10 July 2016.</w:t>
      </w:r>
    </w:p>
  </w:footnote>
  <w:footnote w:id="24">
    <w:p w14:paraId="3205085A" w14:textId="4CEB6C65"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Otto </w:t>
      </w:r>
      <w:proofErr w:type="spellStart"/>
      <w:r w:rsidRPr="00840DEC">
        <w:rPr>
          <w:rFonts w:ascii="Times" w:hAnsi="Times"/>
          <w:sz w:val="18"/>
          <w:szCs w:val="18"/>
        </w:rPr>
        <w:t>Kirchheimer</w:t>
      </w:r>
      <w:proofErr w:type="spellEnd"/>
      <w:r w:rsidRPr="00840DEC">
        <w:rPr>
          <w:rFonts w:ascii="Times" w:hAnsi="Times"/>
          <w:sz w:val="18"/>
          <w:szCs w:val="18"/>
        </w:rPr>
        <w:t xml:space="preserve">, a legal scholar of German origin, published his seminal work in which he examined </w:t>
      </w:r>
      <w:r w:rsidRPr="00840DEC">
        <w:rPr>
          <w:rFonts w:ascii="Times" w:hAnsi="Times"/>
          <w:color w:val="222222"/>
          <w:sz w:val="18"/>
          <w:szCs w:val="18"/>
          <w:shd w:val="clear" w:color="auto" w:fill="FFFFFF"/>
        </w:rPr>
        <w:t xml:space="preserve">the uneasy balance between abstract justice and political expediency. See </w:t>
      </w:r>
      <w:r w:rsidRPr="00840DEC">
        <w:rPr>
          <w:rFonts w:ascii="Times" w:hAnsi="Times"/>
          <w:sz w:val="18"/>
          <w:szCs w:val="18"/>
        </w:rPr>
        <w:t xml:space="preserve">O. </w:t>
      </w:r>
      <w:proofErr w:type="spellStart"/>
      <w:r w:rsidRPr="00840DEC">
        <w:rPr>
          <w:rFonts w:ascii="Times" w:hAnsi="Times"/>
          <w:sz w:val="18"/>
          <w:szCs w:val="18"/>
        </w:rPr>
        <w:t>Kirchheimer</w:t>
      </w:r>
      <w:proofErr w:type="spellEnd"/>
      <w:r w:rsidRPr="00840DEC">
        <w:rPr>
          <w:rFonts w:ascii="Times" w:hAnsi="Times"/>
          <w:sz w:val="18"/>
          <w:szCs w:val="18"/>
        </w:rPr>
        <w:t xml:space="preserve">, </w:t>
      </w:r>
      <w:r w:rsidRPr="00840DEC">
        <w:rPr>
          <w:rFonts w:ascii="Times" w:hAnsi="Times"/>
          <w:i/>
          <w:iCs/>
          <w:sz w:val="18"/>
          <w:szCs w:val="18"/>
        </w:rPr>
        <w:t xml:space="preserve">Political Justice: The Use of Legal Procedure for Political Ends </w:t>
      </w:r>
      <w:r w:rsidRPr="00840DEC">
        <w:rPr>
          <w:rFonts w:ascii="Times" w:hAnsi="Times"/>
          <w:sz w:val="18"/>
          <w:szCs w:val="18"/>
        </w:rPr>
        <w:t>(1961).</w:t>
      </w:r>
    </w:p>
  </w:footnote>
  <w:footnote w:id="25">
    <w:p w14:paraId="061E28E2" w14:textId="26C6D002"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w:t>
      </w:r>
      <w:proofErr w:type="gramStart"/>
      <w:r w:rsidRPr="00840DEC">
        <w:rPr>
          <w:rFonts w:ascii="Times" w:hAnsi="Times"/>
          <w:sz w:val="18"/>
          <w:szCs w:val="18"/>
        </w:rPr>
        <w:t>Ibid.,</w:t>
      </w:r>
      <w:proofErr w:type="gramEnd"/>
      <w:r w:rsidRPr="00840DEC">
        <w:rPr>
          <w:rFonts w:ascii="Times" w:hAnsi="Times"/>
          <w:sz w:val="18"/>
          <w:szCs w:val="18"/>
        </w:rPr>
        <w:t xml:space="preserve"> p. 324.</w:t>
      </w:r>
    </w:p>
  </w:footnote>
  <w:footnote w:id="26">
    <w:p w14:paraId="4E1324D1" w14:textId="35DA1BAA" w:rsidR="00D435DA" w:rsidRPr="00840DEC" w:rsidRDefault="00D435DA" w:rsidP="00207C82">
      <w:pPr>
        <w:pStyle w:val="FootnoteText"/>
        <w:tabs>
          <w:tab w:val="left" w:pos="142"/>
          <w:tab w:val="left" w:pos="851"/>
        </w:tabs>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“At Nuremberg, with twenty-two defendants, including Martin Bormann (1900-1945) who was tried in absentia, the accused quite often disagreed among themselves in describing what had happened in Nazi Germany and reacted quite differently to accounts of the persecution and murder of European Jews.” See </w:t>
      </w:r>
      <w:proofErr w:type="spellStart"/>
      <w:r w:rsidRPr="00840DEC">
        <w:rPr>
          <w:rFonts w:ascii="Times" w:hAnsi="Times"/>
          <w:sz w:val="18"/>
          <w:szCs w:val="18"/>
        </w:rPr>
        <w:t>Marrus</w:t>
      </w:r>
      <w:proofErr w:type="spellEnd"/>
      <w:r w:rsidRPr="00840DEC">
        <w:rPr>
          <w:rFonts w:ascii="Times" w:hAnsi="Times"/>
          <w:sz w:val="18"/>
          <w:szCs w:val="18"/>
        </w:rPr>
        <w:t>, note 6 above, p. 229.</w:t>
      </w:r>
    </w:p>
  </w:footnote>
  <w:footnote w:id="27">
    <w:p w14:paraId="4F78410A" w14:textId="0B5ECBCF"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Douglas, note 6 above, p. 5.</w:t>
      </w:r>
      <w:r w:rsidRPr="00840DEC">
        <w:rPr>
          <w:rFonts w:ascii="Times" w:hAnsi="Times"/>
          <w:sz w:val="18"/>
          <w:szCs w:val="18"/>
        </w:rPr>
        <w:tab/>
      </w:r>
    </w:p>
  </w:footnote>
  <w:footnote w:id="28">
    <w:p w14:paraId="5363F1AD" w14:textId="5366D022"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The ICTY is a United Nations </w:t>
      </w:r>
      <w:r w:rsidRPr="00840DEC">
        <w:rPr>
          <w:rFonts w:ascii="Times" w:hAnsi="Times"/>
          <w:i/>
          <w:sz w:val="18"/>
          <w:szCs w:val="18"/>
        </w:rPr>
        <w:t>ad hoc</w:t>
      </w:r>
      <w:r w:rsidRPr="00840DEC">
        <w:rPr>
          <w:rFonts w:ascii="Times" w:hAnsi="Times"/>
          <w:sz w:val="18"/>
          <w:szCs w:val="18"/>
        </w:rPr>
        <w:t xml:space="preserve"> court established in the middle of the Bosnian war to investigate and prosecute the crimes that took place in the 1990s on the territory of the former Yugoslavia. </w:t>
      </w:r>
      <w:r w:rsidRPr="00840DEC">
        <w:rPr>
          <w:rFonts w:ascii="Times" w:hAnsi="Times"/>
          <w:sz w:val="18"/>
          <w:szCs w:val="18"/>
          <w:lang w:val="nl-NL"/>
        </w:rPr>
        <w:t xml:space="preserve">Between its May 1993 creation and its closure in December 2017, the ICTY indicted 161 individuals of whom 94 were ethnic Serbs. </w:t>
      </w:r>
    </w:p>
  </w:footnote>
  <w:footnote w:id="29">
    <w:p w14:paraId="3C3B59E8" w14:textId="7DB4B7D2" w:rsidR="00D435DA" w:rsidRPr="00840DEC" w:rsidRDefault="00D435DA" w:rsidP="00207C82">
      <w:pPr>
        <w:pStyle w:val="FootnoteText"/>
        <w:rPr>
          <w:rFonts w:ascii="Times" w:hAnsi="Times"/>
          <w:sz w:val="18"/>
          <w:szCs w:val="18"/>
          <w:highlight w:val="yellow"/>
          <w:lang w:val="nl-NL"/>
        </w:rPr>
      </w:pPr>
      <w:r w:rsidRPr="00840DEC">
        <w:rPr>
          <w:rStyle w:val="FootnoteReference"/>
          <w:rFonts w:ascii="Times" w:hAnsi="Times"/>
          <w:sz w:val="18"/>
          <w:szCs w:val="18"/>
        </w:rPr>
        <w:footnoteRef/>
      </w:r>
      <w:r w:rsidRPr="00840DEC">
        <w:rPr>
          <w:rFonts w:ascii="Times" w:hAnsi="Times"/>
          <w:sz w:val="18"/>
          <w:szCs w:val="18"/>
        </w:rPr>
        <w:t xml:space="preserve"> </w:t>
      </w:r>
      <w:proofErr w:type="gramStart"/>
      <w:r w:rsidRPr="00840DEC">
        <w:rPr>
          <w:rFonts w:ascii="Times" w:hAnsi="Times"/>
          <w:sz w:val="18"/>
          <w:szCs w:val="18"/>
        </w:rPr>
        <w:t>Ibid.,</w:t>
      </w:r>
      <w:proofErr w:type="gramEnd"/>
      <w:r w:rsidRPr="00840DEC">
        <w:rPr>
          <w:rFonts w:ascii="Times" w:hAnsi="Times"/>
          <w:sz w:val="18"/>
          <w:szCs w:val="18"/>
        </w:rPr>
        <w:t xml:space="preserve"> p. 256. </w:t>
      </w:r>
    </w:p>
  </w:footnote>
  <w:footnote w:id="30">
    <w:p w14:paraId="4BF4EDE0" w14:textId="7E788EB7" w:rsidR="00D435DA" w:rsidRPr="00840DEC" w:rsidRDefault="00D435DA" w:rsidP="00207C82">
      <w:pPr>
        <w:pStyle w:val="NT-Footnote"/>
        <w:rPr>
          <w:rFonts w:ascii="Times" w:hAnsi="Times" w:cs="Times New Roman"/>
          <w:sz w:val="18"/>
          <w:szCs w:val="18"/>
        </w:rPr>
      </w:pPr>
      <w:r w:rsidRPr="00840DEC">
        <w:rPr>
          <w:rStyle w:val="FootnoteReference"/>
          <w:rFonts w:ascii="Times" w:hAnsi="Times"/>
          <w:sz w:val="18"/>
          <w:szCs w:val="18"/>
        </w:rPr>
        <w:footnoteRef/>
      </w:r>
      <w:r w:rsidRPr="00840DEC">
        <w:rPr>
          <w:rFonts w:ascii="Times" w:hAnsi="Times" w:cs="Times New Roman"/>
          <w:sz w:val="18"/>
          <w:szCs w:val="18"/>
        </w:rPr>
        <w:t xml:space="preserve"> </w:t>
      </w:r>
      <w:r w:rsidRPr="00840DEC">
        <w:rPr>
          <w:rFonts w:ascii="Times" w:hAnsi="Times" w:cs="Times New Roman"/>
          <w:i/>
          <w:sz w:val="18"/>
          <w:szCs w:val="18"/>
        </w:rPr>
        <w:t>Prosecutor v. Slobodan Milo</w:t>
      </w:r>
      <w:r w:rsidRPr="00840DEC">
        <w:rPr>
          <w:rFonts w:ascii="Times" w:hAnsi="Times" w:cs="Times New Roman"/>
          <w:i/>
          <w:sz w:val="18"/>
          <w:szCs w:val="18"/>
          <w:lang w:val="hr-HR"/>
        </w:rPr>
        <w:t>šević</w:t>
      </w:r>
      <w:r w:rsidRPr="00840DEC">
        <w:rPr>
          <w:rFonts w:ascii="Times" w:hAnsi="Times" w:cs="Times New Roman"/>
          <w:sz w:val="18"/>
          <w:szCs w:val="18"/>
          <w:lang w:val="hr-HR"/>
        </w:rPr>
        <w:t xml:space="preserve">, ICTY Case No. IT-02-54-T, </w:t>
      </w:r>
      <w:r w:rsidRPr="00840DEC">
        <w:rPr>
          <w:rFonts w:ascii="Times" w:hAnsi="Times" w:cs="Times New Roman"/>
          <w:sz w:val="18"/>
          <w:szCs w:val="18"/>
        </w:rPr>
        <w:t xml:space="preserve">31 August 2004, T 35218:01-35215:10. </w:t>
      </w:r>
    </w:p>
  </w:footnote>
  <w:footnote w:id="31">
    <w:p w14:paraId="0E5686FD" w14:textId="570FFD7B"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Wilson: note 6 above, pp. 909 and 942.</w:t>
      </w:r>
    </w:p>
  </w:footnote>
  <w:footnote w:id="32">
    <w:p w14:paraId="28855EDE" w14:textId="763526A6" w:rsidR="00D435DA" w:rsidRPr="00840DEC" w:rsidRDefault="00D435DA" w:rsidP="00207C82">
      <w:pPr>
        <w:widowControl w:val="0"/>
        <w:autoSpaceDE w:val="0"/>
        <w:autoSpaceDN w:val="0"/>
        <w:adjustRightInd w:val="0"/>
        <w:rPr>
          <w:rFonts w:ascii="Times" w:hAnsi="Times" w:cs="Times New Roman"/>
          <w:sz w:val="18"/>
          <w:szCs w:val="18"/>
          <w:lang w:val="nl-NL"/>
        </w:rPr>
      </w:pPr>
      <w:r w:rsidRPr="00840DEC">
        <w:rPr>
          <w:rStyle w:val="FootnoteReference"/>
          <w:rFonts w:ascii="Times" w:hAnsi="Times"/>
          <w:sz w:val="18"/>
          <w:szCs w:val="18"/>
        </w:rPr>
        <w:footnoteRef/>
      </w:r>
      <w:r w:rsidRPr="00840DEC">
        <w:rPr>
          <w:rFonts w:ascii="Times" w:hAnsi="Times" w:cs="Times New Roman"/>
          <w:sz w:val="18"/>
          <w:szCs w:val="18"/>
        </w:rPr>
        <w:t xml:space="preserve"> Gaynor, note 16 above, p. 1260. Gaynor quotes R. May and </w:t>
      </w:r>
      <w:proofErr w:type="spellStart"/>
      <w:r w:rsidRPr="00840DEC">
        <w:rPr>
          <w:rFonts w:ascii="Times" w:hAnsi="Times" w:cs="Times New Roman"/>
          <w:sz w:val="18"/>
          <w:szCs w:val="18"/>
        </w:rPr>
        <w:t>M.Wierda</w:t>
      </w:r>
      <w:proofErr w:type="spellEnd"/>
      <w:r w:rsidRPr="00840DEC">
        <w:rPr>
          <w:rFonts w:ascii="Times" w:hAnsi="Times" w:cs="Times New Roman"/>
          <w:sz w:val="18"/>
          <w:szCs w:val="18"/>
        </w:rPr>
        <w:t xml:space="preserve">, “Evidence before the ICTY”, in R. May, </w:t>
      </w:r>
      <w:proofErr w:type="spellStart"/>
      <w:r w:rsidRPr="00840DEC">
        <w:rPr>
          <w:rFonts w:ascii="Times" w:hAnsi="Times" w:cs="Times New Roman"/>
          <w:sz w:val="18"/>
          <w:szCs w:val="18"/>
        </w:rPr>
        <w:t>D.Tolbert</w:t>
      </w:r>
      <w:proofErr w:type="spellEnd"/>
      <w:r w:rsidRPr="00840DEC">
        <w:rPr>
          <w:rFonts w:ascii="Times" w:hAnsi="Times" w:cs="Times New Roman"/>
          <w:sz w:val="18"/>
          <w:szCs w:val="18"/>
        </w:rPr>
        <w:t xml:space="preserve"> and J. Hocking (</w:t>
      </w:r>
      <w:proofErr w:type="spellStart"/>
      <w:r w:rsidRPr="00840DEC">
        <w:rPr>
          <w:rFonts w:ascii="Times" w:hAnsi="Times" w:cs="Times New Roman"/>
          <w:sz w:val="18"/>
          <w:szCs w:val="18"/>
        </w:rPr>
        <w:t>eds</w:t>
      </w:r>
      <w:proofErr w:type="spellEnd"/>
      <w:r w:rsidRPr="00840DEC">
        <w:rPr>
          <w:rFonts w:ascii="Times" w:hAnsi="Times" w:cs="Times New Roman"/>
          <w:sz w:val="18"/>
          <w:szCs w:val="18"/>
        </w:rPr>
        <w:t xml:space="preserve">), </w:t>
      </w:r>
      <w:r w:rsidRPr="00840DEC">
        <w:rPr>
          <w:rFonts w:ascii="Times" w:hAnsi="Times" w:cs="Times New Roman"/>
          <w:i/>
          <w:sz w:val="18"/>
          <w:szCs w:val="18"/>
        </w:rPr>
        <w:t xml:space="preserve">Essays on the ICTY Procedure and Evidence: In </w:t>
      </w:r>
      <w:proofErr w:type="spellStart"/>
      <w:r w:rsidRPr="00840DEC">
        <w:rPr>
          <w:rFonts w:ascii="Times" w:hAnsi="Times" w:cs="Times New Roman"/>
          <w:i/>
          <w:sz w:val="18"/>
          <w:szCs w:val="18"/>
        </w:rPr>
        <w:t>Honour</w:t>
      </w:r>
      <w:proofErr w:type="spellEnd"/>
      <w:r w:rsidRPr="00840DEC">
        <w:rPr>
          <w:rFonts w:ascii="Times" w:hAnsi="Times" w:cs="Times New Roman"/>
          <w:i/>
          <w:sz w:val="18"/>
          <w:szCs w:val="18"/>
        </w:rPr>
        <w:t xml:space="preserve"> of Gabrielle Kirk McDonald </w:t>
      </w:r>
      <w:r w:rsidRPr="00840DEC">
        <w:rPr>
          <w:rFonts w:ascii="Times" w:hAnsi="Times" w:cs="Times New Roman"/>
          <w:sz w:val="18"/>
          <w:szCs w:val="18"/>
        </w:rPr>
        <w:t>(2001), p. 253.</w:t>
      </w:r>
    </w:p>
  </w:footnote>
  <w:footnote w:id="33">
    <w:p w14:paraId="1F954504" w14:textId="6F952B16" w:rsidR="00D435DA" w:rsidRPr="00840DEC" w:rsidRDefault="00D435DA" w:rsidP="00207C82">
      <w:pPr>
        <w:pStyle w:val="FootnoteText"/>
        <w:rPr>
          <w:rFonts w:ascii="Times" w:hAnsi="Times"/>
          <w:color w:val="333333"/>
          <w:sz w:val="18"/>
          <w:szCs w:val="18"/>
          <w:lang w:val="hr-HR"/>
        </w:rPr>
      </w:pPr>
      <w:r w:rsidRPr="00840DEC">
        <w:rPr>
          <w:rStyle w:val="FootnoteReference"/>
          <w:rFonts w:ascii="Times" w:hAnsi="Times"/>
          <w:sz w:val="18"/>
          <w:szCs w:val="18"/>
        </w:rPr>
        <w:footnoteRef/>
      </w:r>
      <w:r w:rsidRPr="00840DEC">
        <w:rPr>
          <w:rFonts w:ascii="Times" w:hAnsi="Times"/>
          <w:sz w:val="18"/>
          <w:szCs w:val="18"/>
        </w:rPr>
        <w:t xml:space="preserve"> See</w:t>
      </w:r>
      <w:r w:rsidRPr="00840DEC">
        <w:rPr>
          <w:rFonts w:ascii="Times" w:hAnsi="Times"/>
          <w:color w:val="000000" w:themeColor="text1"/>
          <w:sz w:val="18"/>
          <w:szCs w:val="18"/>
        </w:rPr>
        <w:t xml:space="preserve"> </w:t>
      </w:r>
      <w:r w:rsidRPr="00840DEC">
        <w:rPr>
          <w:rFonts w:ascii="Times" w:hAnsi="Times"/>
          <w:color w:val="333333"/>
          <w:sz w:val="18"/>
          <w:szCs w:val="18"/>
          <w:lang w:val="nl-NL"/>
        </w:rPr>
        <w:t>“</w:t>
      </w:r>
      <w:r w:rsidRPr="00840DEC">
        <w:rPr>
          <w:rFonts w:ascii="Times" w:hAnsi="Times"/>
          <w:color w:val="333333"/>
          <w:sz w:val="18"/>
          <w:szCs w:val="18"/>
        </w:rPr>
        <w:t xml:space="preserve">ICTY judgment in </w:t>
      </w:r>
      <w:proofErr w:type="spellStart"/>
      <w:r w:rsidRPr="00840DEC">
        <w:rPr>
          <w:rFonts w:ascii="Times" w:hAnsi="Times"/>
          <w:color w:val="333333"/>
          <w:sz w:val="18"/>
          <w:szCs w:val="18"/>
        </w:rPr>
        <w:t>Karad</w:t>
      </w:r>
      <w:proofErr w:type="spellEnd"/>
      <w:r w:rsidRPr="00840DEC">
        <w:rPr>
          <w:rFonts w:ascii="Times" w:hAnsi="Times"/>
          <w:color w:val="333333"/>
          <w:sz w:val="18"/>
          <w:szCs w:val="18"/>
          <w:lang w:val="hr-HR"/>
        </w:rPr>
        <w:t xml:space="preserve">žić case exonerates </w:t>
      </w:r>
      <w:proofErr w:type="spellStart"/>
      <w:r w:rsidRPr="00840DEC">
        <w:rPr>
          <w:rFonts w:ascii="Times" w:eastAsia="Times New Roman" w:hAnsi="Times"/>
          <w:sz w:val="18"/>
          <w:szCs w:val="18"/>
        </w:rPr>
        <w:t>Milošević</w:t>
      </w:r>
      <w:proofErr w:type="spellEnd"/>
      <w:r w:rsidRPr="00840DEC">
        <w:rPr>
          <w:rFonts w:ascii="Times" w:hAnsi="Times"/>
          <w:color w:val="333333"/>
          <w:sz w:val="18"/>
          <w:szCs w:val="18"/>
          <w:lang w:val="hr-HR"/>
        </w:rPr>
        <w:t xml:space="preserve"> from responsibility for crimes in Bosnia,</w:t>
      </w:r>
      <w:r w:rsidRPr="00840DEC">
        <w:rPr>
          <w:rFonts w:ascii="Times" w:hAnsi="Times"/>
          <w:color w:val="333333"/>
          <w:sz w:val="18"/>
          <w:szCs w:val="18"/>
          <w:lang w:val="nl-NL"/>
        </w:rPr>
        <w:t xml:space="preserve">” </w:t>
      </w:r>
      <w:r w:rsidRPr="00840DEC">
        <w:rPr>
          <w:rFonts w:ascii="Times" w:hAnsi="Times"/>
          <w:i/>
          <w:color w:val="333333"/>
          <w:sz w:val="18"/>
          <w:szCs w:val="18"/>
          <w:lang w:val="nl-NL"/>
        </w:rPr>
        <w:t>EBL News</w:t>
      </w:r>
      <w:r w:rsidRPr="00840DEC">
        <w:rPr>
          <w:rFonts w:ascii="Times" w:hAnsi="Times"/>
          <w:color w:val="333333"/>
          <w:sz w:val="18"/>
          <w:szCs w:val="18"/>
          <w:lang w:val="nl-NL"/>
        </w:rPr>
        <w:t xml:space="preserve">, 14 August 2016, at: </w:t>
      </w:r>
      <w:r w:rsidRPr="00840DEC">
        <w:rPr>
          <w:rFonts w:ascii="Times" w:hAnsi="Times"/>
          <w:sz w:val="18"/>
          <w:szCs w:val="18"/>
        </w:rPr>
        <w:t>https://eblnews.com/news/balkan/icty-judgment-Karadžić-case-exonerates-milosevic-responsibility-crimes-bosnia-33078</w:t>
      </w:r>
    </w:p>
  </w:footnote>
  <w:footnote w:id="34">
    <w:p w14:paraId="3C85602D" w14:textId="2B03877C"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See A. Wilcoxon, “</w:t>
      </w:r>
      <w:r w:rsidR="00E064BF">
        <w:fldChar w:fldCharType="begin"/>
      </w:r>
      <w:r w:rsidR="00E064BF">
        <w:instrText xml:space="preserve"> HYPERL</w:instrText>
      </w:r>
      <w:r w:rsidR="00E064BF">
        <w:instrText xml:space="preserve">INK "https://www.counterpunch.org/2016/08/01/the-exoneration-of-milosevic-the-ictys-surprise-ruling/" </w:instrText>
      </w:r>
      <w:r w:rsidR="00E064BF">
        <w:fldChar w:fldCharType="separate"/>
      </w:r>
      <w:r w:rsidRPr="00840DEC">
        <w:rPr>
          <w:rFonts w:ascii="Times" w:hAnsi="Times"/>
          <w:color w:val="333333"/>
          <w:sz w:val="18"/>
          <w:szCs w:val="18"/>
        </w:rPr>
        <w:t>The Exoneration of</w:t>
      </w:r>
      <w:r w:rsidRPr="00840DEC">
        <w:rPr>
          <w:rFonts w:ascii="Times" w:eastAsia="Times New Roman" w:hAnsi="Times"/>
          <w:sz w:val="18"/>
          <w:szCs w:val="18"/>
        </w:rPr>
        <w:t xml:space="preserve"> Milošević</w:t>
      </w:r>
      <w:r w:rsidRPr="00840DEC">
        <w:rPr>
          <w:rFonts w:ascii="Times" w:hAnsi="Times"/>
          <w:color w:val="333333"/>
          <w:sz w:val="18"/>
          <w:szCs w:val="18"/>
        </w:rPr>
        <w:t xml:space="preserve"> : the ICTY’s Surprise Ruling</w:t>
      </w:r>
      <w:r w:rsidR="00E064BF">
        <w:rPr>
          <w:rFonts w:ascii="Times" w:hAnsi="Times"/>
          <w:color w:val="333333"/>
          <w:sz w:val="18"/>
          <w:szCs w:val="18"/>
        </w:rPr>
        <w:fldChar w:fldCharType="end"/>
      </w:r>
      <w:r w:rsidRPr="00840DEC">
        <w:rPr>
          <w:rFonts w:ascii="Times" w:hAnsi="Times"/>
          <w:sz w:val="18"/>
          <w:szCs w:val="18"/>
        </w:rPr>
        <w:t xml:space="preserve">”, </w:t>
      </w:r>
      <w:proofErr w:type="spellStart"/>
      <w:r w:rsidRPr="00840DEC">
        <w:rPr>
          <w:rFonts w:ascii="Times" w:hAnsi="Times"/>
          <w:i/>
          <w:sz w:val="18"/>
          <w:szCs w:val="18"/>
        </w:rPr>
        <w:t>CounterPunch</w:t>
      </w:r>
      <w:proofErr w:type="spellEnd"/>
      <w:r w:rsidRPr="00840DEC">
        <w:rPr>
          <w:rFonts w:ascii="Times" w:hAnsi="Times"/>
          <w:sz w:val="18"/>
          <w:szCs w:val="18"/>
        </w:rPr>
        <w:t>, 01 August 2016, at:</w:t>
      </w:r>
      <w:r w:rsidRPr="00840DEC">
        <w:rPr>
          <w:rFonts w:ascii="Times" w:hAnsi="Times"/>
          <w:sz w:val="18"/>
          <w:szCs w:val="18"/>
          <w:lang w:val="nl-NL"/>
        </w:rPr>
        <w:t xml:space="preserve"> https://www.counterpunch.org/2016/08/01/the-exoneration-of-</w:t>
      </w:r>
      <w:r w:rsidRPr="00840DEC">
        <w:rPr>
          <w:rFonts w:ascii="Times" w:eastAsia="Times New Roman" w:hAnsi="Times"/>
          <w:sz w:val="18"/>
          <w:szCs w:val="18"/>
        </w:rPr>
        <w:t xml:space="preserve"> </w:t>
      </w:r>
      <w:proofErr w:type="spellStart"/>
      <w:r w:rsidRPr="00840DEC">
        <w:rPr>
          <w:rFonts w:ascii="Times" w:eastAsia="Times New Roman" w:hAnsi="Times"/>
          <w:sz w:val="18"/>
          <w:szCs w:val="18"/>
        </w:rPr>
        <w:t>Milošević</w:t>
      </w:r>
      <w:proofErr w:type="spellEnd"/>
      <w:r w:rsidRPr="00840DEC">
        <w:rPr>
          <w:rFonts w:ascii="Times" w:hAnsi="Times"/>
          <w:sz w:val="18"/>
          <w:szCs w:val="18"/>
          <w:lang w:val="nl-NL"/>
        </w:rPr>
        <w:t>-the-ictys-surprise-ruling/.</w:t>
      </w:r>
    </w:p>
  </w:footnote>
  <w:footnote w:id="35">
    <w:p w14:paraId="63C78140" w14:textId="347D40A3" w:rsidR="00D435DA" w:rsidRPr="00840DEC" w:rsidRDefault="00D435DA" w:rsidP="00207C82">
      <w:pPr>
        <w:pStyle w:val="FootnoteText"/>
        <w:rPr>
          <w:rFonts w:ascii="Times" w:eastAsia="Times New Roman"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color w:val="1F2124"/>
          <w:sz w:val="18"/>
          <w:szCs w:val="18"/>
        </w:rPr>
        <w:t xml:space="preserve">“The ICTY conclusion, that one of the most demonized figures of the modern era was innocent of the most heinous crimes he was accused of, should have made headlines across the world. Even the ICTY buried it, deep in its 2,590-page verdict in the trial of Bosnian Serb leader Radovan Karadzic, who was convicted in March of genocide (at Srebrenica), war crimes and crimes against humanity”. See </w:t>
      </w:r>
      <w:r w:rsidRPr="00840DEC">
        <w:rPr>
          <w:rFonts w:ascii="Times" w:eastAsia="Times New Roman" w:hAnsi="Times"/>
          <w:sz w:val="18"/>
          <w:szCs w:val="18"/>
        </w:rPr>
        <w:t>N. Clark, “</w:t>
      </w:r>
      <w:r w:rsidRPr="00840DEC">
        <w:rPr>
          <w:rFonts w:ascii="Times" w:eastAsia="Times New Roman" w:hAnsi="Times"/>
          <w:bCs/>
          <w:color w:val="000000"/>
          <w:sz w:val="18"/>
          <w:szCs w:val="18"/>
          <w:shd w:val="clear" w:color="auto" w:fill="FFFFFF"/>
        </w:rPr>
        <w:t xml:space="preserve">Milosevic exonerated, as the NATO war machine moves on”, </w:t>
      </w:r>
      <w:r w:rsidRPr="00840DEC">
        <w:rPr>
          <w:rFonts w:ascii="Times" w:eastAsia="Times New Roman" w:hAnsi="Times"/>
          <w:bCs/>
          <w:i/>
          <w:color w:val="000000"/>
          <w:sz w:val="18"/>
          <w:szCs w:val="18"/>
          <w:shd w:val="clear" w:color="auto" w:fill="FFFFFF"/>
        </w:rPr>
        <w:t>Russia Today</w:t>
      </w:r>
      <w:r w:rsidRPr="00840DEC">
        <w:rPr>
          <w:rFonts w:ascii="Times" w:eastAsia="Times New Roman" w:hAnsi="Times"/>
          <w:bCs/>
          <w:color w:val="000000"/>
          <w:sz w:val="18"/>
          <w:szCs w:val="18"/>
          <w:shd w:val="clear" w:color="auto" w:fill="FFFFFF"/>
        </w:rPr>
        <w:t xml:space="preserve">, 03 August 2016, at: </w:t>
      </w:r>
      <w:r w:rsidRPr="00840DEC">
        <w:rPr>
          <w:rFonts w:ascii="Times" w:hAnsi="Times"/>
          <w:sz w:val="18"/>
          <w:szCs w:val="18"/>
        </w:rPr>
        <w:t>https://www.rt.com/op-edge/354362-slobodan-milosevic-exonerated-us-nato/</w:t>
      </w:r>
    </w:p>
  </w:footnote>
  <w:footnote w:id="36">
    <w:p w14:paraId="77B66B75" w14:textId="4123E89D" w:rsidR="00D435DA" w:rsidRPr="00840DEC" w:rsidRDefault="00D435DA" w:rsidP="00207C82">
      <w:pPr>
        <w:pStyle w:val="FootnoteText"/>
        <w:rPr>
          <w:rFonts w:ascii="Times" w:hAnsi="Times"/>
          <w:bCs/>
          <w:color w:val="1F2124"/>
          <w:sz w:val="18"/>
          <w:szCs w:val="18"/>
        </w:rPr>
      </w:pPr>
      <w:r w:rsidRPr="00840DEC">
        <w:rPr>
          <w:rStyle w:val="FootnoteReference"/>
          <w:rFonts w:ascii="Times" w:hAnsi="Times"/>
          <w:sz w:val="18"/>
          <w:szCs w:val="18"/>
        </w:rPr>
        <w:footnoteRef/>
      </w:r>
      <w:r w:rsidRPr="00840DEC">
        <w:rPr>
          <w:rFonts w:ascii="Times" w:hAnsi="Times"/>
          <w:sz w:val="18"/>
          <w:szCs w:val="18"/>
        </w:rPr>
        <w:t xml:space="preserve"> G. </w:t>
      </w:r>
      <w:proofErr w:type="spellStart"/>
      <w:r w:rsidRPr="00840DEC">
        <w:rPr>
          <w:rFonts w:ascii="Times" w:hAnsi="Times"/>
          <w:sz w:val="18"/>
          <w:szCs w:val="18"/>
        </w:rPr>
        <w:t>Kne</w:t>
      </w:r>
      <w:proofErr w:type="spellEnd"/>
      <w:r w:rsidRPr="00840DEC">
        <w:rPr>
          <w:rFonts w:ascii="Times" w:hAnsi="Times"/>
          <w:sz w:val="18"/>
          <w:szCs w:val="18"/>
          <w:lang w:val="hr-HR"/>
        </w:rPr>
        <w:t xml:space="preserve">žević, </w:t>
      </w:r>
      <w:r w:rsidRPr="00840DEC">
        <w:rPr>
          <w:rFonts w:ascii="Times" w:hAnsi="Times"/>
          <w:color w:val="1F2124"/>
          <w:sz w:val="18"/>
          <w:szCs w:val="18"/>
        </w:rPr>
        <w:t>"</w:t>
      </w:r>
      <w:r w:rsidRPr="00840DEC">
        <w:rPr>
          <w:rFonts w:ascii="Times" w:hAnsi="Times"/>
          <w:bCs/>
          <w:sz w:val="18"/>
          <w:szCs w:val="18"/>
        </w:rPr>
        <w:t>Milosevic 'Exonerated'? War-Crime Deniers Feed Receptive Audience,</w:t>
      </w:r>
      <w:r w:rsidRPr="00840DEC">
        <w:rPr>
          <w:rFonts w:ascii="Times" w:hAnsi="Times"/>
          <w:color w:val="1F2124"/>
          <w:sz w:val="18"/>
          <w:szCs w:val="18"/>
        </w:rPr>
        <w:t>"</w:t>
      </w:r>
      <w:r w:rsidRPr="00840DEC">
        <w:rPr>
          <w:rFonts w:ascii="Times" w:hAnsi="Times"/>
          <w:bCs/>
          <w:sz w:val="18"/>
          <w:szCs w:val="18"/>
        </w:rPr>
        <w:t xml:space="preserve"> </w:t>
      </w:r>
      <w:r w:rsidRPr="00840DEC">
        <w:rPr>
          <w:rFonts w:ascii="Times" w:hAnsi="Times"/>
          <w:bCs/>
          <w:i/>
          <w:sz w:val="18"/>
          <w:szCs w:val="18"/>
        </w:rPr>
        <w:t>Radio Free Europe</w:t>
      </w:r>
      <w:r w:rsidRPr="00840DEC">
        <w:rPr>
          <w:rFonts w:ascii="Times" w:hAnsi="Times"/>
          <w:bCs/>
          <w:sz w:val="18"/>
          <w:szCs w:val="18"/>
        </w:rPr>
        <w:t xml:space="preserve">, 09 August 2016, at: </w:t>
      </w:r>
      <w:r w:rsidRPr="00840DEC">
        <w:rPr>
          <w:rFonts w:ascii="Times" w:hAnsi="Times"/>
          <w:sz w:val="18"/>
          <w:szCs w:val="18"/>
        </w:rPr>
        <w:t xml:space="preserve">https://www.rferl.org/a/milosevic-war-crime-deniers-feed-receptive-audience/27910664.html </w:t>
      </w:r>
    </w:p>
  </w:footnote>
  <w:footnote w:id="37">
    <w:p w14:paraId="2C456755" w14:textId="77777777" w:rsidR="00D435DA" w:rsidRPr="00840DEC" w:rsidRDefault="00D435DA" w:rsidP="00207C82">
      <w:pPr>
        <w:pStyle w:val="NFootnotes"/>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hr-HR"/>
        </w:rPr>
        <w:t>See for example</w:t>
      </w:r>
      <w:r w:rsidRPr="00840DEC">
        <w:rPr>
          <w:rFonts w:ascii="Times" w:hAnsi="Times"/>
          <w:sz w:val="18"/>
          <w:szCs w:val="18"/>
          <w:lang w:val="nl-NL"/>
        </w:rPr>
        <w:t xml:space="preserve">: </w:t>
      </w:r>
      <w:r w:rsidR="00E064BF">
        <w:fldChar w:fldCharType="begin"/>
      </w:r>
      <w:r w:rsidR="00E064BF">
        <w:instrText xml:space="preserve"> HYPERLINK "http://www.telegraf.rs/vesti/politika/2344010-dacic-presuda-karadzicu-je-dokaz-da-je-srbija-nije-kriva-za-ratne-zlocine" </w:instrText>
      </w:r>
      <w:r w:rsidR="00E064BF">
        <w:fldChar w:fldCharType="separate"/>
      </w:r>
      <w:r w:rsidRPr="00840DEC">
        <w:rPr>
          <w:rStyle w:val="Hyperlink"/>
          <w:rFonts w:ascii="Times" w:hAnsi="Times"/>
          <w:sz w:val="18"/>
          <w:szCs w:val="18"/>
          <w:lang w:val="nl-NL"/>
        </w:rPr>
        <w:t>http://www.telegraf.rs/vesti/politika/2344010-dacic-presuda-karadzicu-je-dokaz-da-je-srbija-nije-kriva-za-ratne-zlocine</w:t>
      </w:r>
      <w:r w:rsidR="00E064BF">
        <w:rPr>
          <w:rStyle w:val="Hyperlink"/>
          <w:rFonts w:ascii="Times" w:hAnsi="Times"/>
          <w:sz w:val="18"/>
          <w:szCs w:val="18"/>
          <w:lang w:val="nl-NL"/>
        </w:rPr>
        <w:fldChar w:fldCharType="end"/>
      </w:r>
      <w:r w:rsidRPr="00840DEC">
        <w:rPr>
          <w:rFonts w:ascii="Times" w:hAnsi="Times"/>
          <w:sz w:val="18"/>
          <w:szCs w:val="18"/>
          <w:lang w:val="nl-NL"/>
        </w:rPr>
        <w:t xml:space="preserve"> (accessed 22 September 2017)</w:t>
      </w:r>
    </w:p>
  </w:footnote>
  <w:footnote w:id="38">
    <w:p w14:paraId="7D99FD38" w14:textId="135D74E1" w:rsidR="00D435DA" w:rsidRPr="00840DEC" w:rsidRDefault="00D435DA" w:rsidP="00207C82">
      <w:pPr>
        <w:pStyle w:val="NFootnotes"/>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P. Wald, “Forward: War Tales and War Trials”, </w:t>
      </w:r>
      <w:r w:rsidRPr="00840DEC">
        <w:rPr>
          <w:rFonts w:ascii="Times" w:hAnsi="Times"/>
          <w:i/>
          <w:sz w:val="18"/>
          <w:szCs w:val="18"/>
        </w:rPr>
        <w:t>Michigan Law Review</w:t>
      </w:r>
      <w:r w:rsidRPr="00840DEC">
        <w:rPr>
          <w:rFonts w:ascii="Times" w:hAnsi="Times"/>
          <w:sz w:val="18"/>
          <w:szCs w:val="18"/>
        </w:rPr>
        <w:t>, CVI (2008), p. 915.</w:t>
      </w:r>
    </w:p>
  </w:footnote>
  <w:footnote w:id="39">
    <w:p w14:paraId="5416DA1C" w14:textId="7F69D6D6" w:rsidR="00D435DA" w:rsidRPr="00840DEC" w:rsidRDefault="00D435DA" w:rsidP="007C5AC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i/>
          <w:sz w:val="18"/>
          <w:szCs w:val="18"/>
        </w:rPr>
        <w:t xml:space="preserve">Prosecutor v. </w:t>
      </w:r>
      <w:proofErr w:type="spellStart"/>
      <w:r w:rsidRPr="00840DEC">
        <w:rPr>
          <w:rFonts w:ascii="Times" w:hAnsi="Times"/>
          <w:i/>
          <w:sz w:val="18"/>
          <w:szCs w:val="18"/>
        </w:rPr>
        <w:t>Ratko</w:t>
      </w:r>
      <w:proofErr w:type="spellEnd"/>
      <w:r w:rsidRPr="00840DEC">
        <w:rPr>
          <w:rFonts w:ascii="Times" w:hAnsi="Times"/>
          <w:i/>
          <w:sz w:val="18"/>
          <w:szCs w:val="18"/>
        </w:rPr>
        <w:t xml:space="preserve"> </w:t>
      </w:r>
      <w:proofErr w:type="spellStart"/>
      <w:r w:rsidRPr="00840DEC">
        <w:rPr>
          <w:rFonts w:ascii="Times" w:hAnsi="Times"/>
          <w:i/>
          <w:sz w:val="18"/>
          <w:szCs w:val="18"/>
        </w:rPr>
        <w:t>Mladi</w:t>
      </w:r>
      <w:proofErr w:type="spellEnd"/>
      <w:r w:rsidRPr="00840DEC">
        <w:rPr>
          <w:rFonts w:ascii="Times" w:hAnsi="Times"/>
          <w:i/>
          <w:sz w:val="18"/>
          <w:szCs w:val="18"/>
          <w:lang w:val="hr-HR"/>
        </w:rPr>
        <w:t>ć</w:t>
      </w:r>
      <w:r w:rsidRPr="00840DEC">
        <w:rPr>
          <w:rFonts w:ascii="Times" w:hAnsi="Times"/>
          <w:sz w:val="18"/>
          <w:szCs w:val="18"/>
          <w:lang w:val="hr-HR"/>
        </w:rPr>
        <w:t>, ICTY Case No. IT-09-92-T. §4238, p. 2090.</w:t>
      </w:r>
    </w:p>
  </w:footnote>
  <w:footnote w:id="40">
    <w:p w14:paraId="0BBA353F" w14:textId="13A9B4DD" w:rsidR="00D435DA" w:rsidRPr="00840DEC" w:rsidRDefault="00D435DA" w:rsidP="007C5AC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Ibid. In footnote 15357 to §4238, the judges listed names of the individuals from Serbia, including Milo</w:t>
      </w:r>
      <w:r w:rsidRPr="00840DEC">
        <w:rPr>
          <w:rFonts w:ascii="Times" w:hAnsi="Times"/>
          <w:sz w:val="18"/>
          <w:szCs w:val="18"/>
          <w:lang w:val="hr-HR"/>
        </w:rPr>
        <w:t>šević</w:t>
      </w:r>
      <w:r w:rsidRPr="00840DEC">
        <w:rPr>
          <w:rFonts w:ascii="Times" w:hAnsi="Times"/>
          <w:sz w:val="18"/>
          <w:szCs w:val="18"/>
        </w:rPr>
        <w:t xml:space="preserve"> for which no evidence for JCE participation was found.</w:t>
      </w:r>
    </w:p>
  </w:footnote>
  <w:footnote w:id="41">
    <w:p w14:paraId="17944947" w14:textId="780BAE7C" w:rsidR="00D435DA" w:rsidRPr="00840DEC" w:rsidRDefault="00D435DA" w:rsidP="00207C82">
      <w:pPr>
        <w:pStyle w:val="NFootnotes"/>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Three broad physical elements are shared by all three categories of joint criminal enterprise: (a) a plurality of persons; (b) the existence of a common plan, design, or purpose that amounts to or involves the commission of a crime or underlying offence provided for in the Statute; and (c) the participation of the accused in the common plan, design, or purpose. See for example </w:t>
      </w:r>
      <w:r w:rsidRPr="00840DEC">
        <w:rPr>
          <w:rFonts w:ascii="Times" w:hAnsi="Times"/>
          <w:i/>
          <w:sz w:val="18"/>
          <w:szCs w:val="18"/>
        </w:rPr>
        <w:t>Prosecution vs.</w:t>
      </w:r>
      <w:r w:rsidRPr="00840DEC">
        <w:rPr>
          <w:rFonts w:ascii="Times" w:hAnsi="Times"/>
          <w:sz w:val="18"/>
          <w:szCs w:val="18"/>
        </w:rPr>
        <w:t xml:space="preserve"> </w:t>
      </w:r>
      <w:proofErr w:type="spellStart"/>
      <w:r w:rsidRPr="00840DEC">
        <w:rPr>
          <w:rFonts w:ascii="Times" w:hAnsi="Times"/>
          <w:i/>
          <w:sz w:val="18"/>
          <w:szCs w:val="18"/>
        </w:rPr>
        <w:t>Milutinovic</w:t>
      </w:r>
      <w:proofErr w:type="spellEnd"/>
      <w:r w:rsidRPr="00840DEC">
        <w:rPr>
          <w:rFonts w:ascii="Times" w:hAnsi="Times"/>
          <w:i/>
          <w:sz w:val="18"/>
          <w:szCs w:val="18"/>
        </w:rPr>
        <w:t xml:space="preserve"> et al. Judgment</w:t>
      </w:r>
      <w:r w:rsidRPr="00840DEC">
        <w:rPr>
          <w:rFonts w:ascii="Times" w:hAnsi="Times"/>
          <w:sz w:val="18"/>
          <w:szCs w:val="18"/>
        </w:rPr>
        <w:t>,</w:t>
      </w:r>
      <w:r w:rsidRPr="00840DEC">
        <w:rPr>
          <w:rFonts w:ascii="Times" w:hAnsi="Times"/>
          <w:i/>
          <w:sz w:val="18"/>
          <w:szCs w:val="18"/>
        </w:rPr>
        <w:t xml:space="preserve"> </w:t>
      </w:r>
      <w:r w:rsidRPr="00840DEC">
        <w:rPr>
          <w:rFonts w:ascii="Times" w:hAnsi="Times"/>
          <w:sz w:val="18"/>
          <w:szCs w:val="18"/>
        </w:rPr>
        <w:t xml:space="preserve">ICTY Case No. IT-05-87, 40. Following the acquittal of Milan </w:t>
      </w:r>
      <w:proofErr w:type="spellStart"/>
      <w:r w:rsidRPr="00840DEC">
        <w:rPr>
          <w:rFonts w:ascii="Times" w:hAnsi="Times"/>
          <w:sz w:val="18"/>
          <w:szCs w:val="18"/>
        </w:rPr>
        <w:t>Milutinovi</w:t>
      </w:r>
      <w:proofErr w:type="spellEnd"/>
      <w:r w:rsidRPr="00840DEC">
        <w:rPr>
          <w:rFonts w:ascii="Times" w:hAnsi="Times"/>
          <w:sz w:val="18"/>
          <w:szCs w:val="18"/>
          <w:lang w:val="hr-HR"/>
        </w:rPr>
        <w:t>ć</w:t>
      </w:r>
      <w:r w:rsidRPr="00840DEC">
        <w:rPr>
          <w:rFonts w:ascii="Times" w:hAnsi="Times"/>
          <w:sz w:val="18"/>
          <w:szCs w:val="18"/>
        </w:rPr>
        <w:t xml:space="preserve">, the name of the case was changed from </w:t>
      </w:r>
      <w:proofErr w:type="spellStart"/>
      <w:r w:rsidRPr="00840DEC">
        <w:rPr>
          <w:rFonts w:ascii="Times" w:hAnsi="Times"/>
          <w:i/>
          <w:sz w:val="18"/>
          <w:szCs w:val="18"/>
        </w:rPr>
        <w:t>Milutinović</w:t>
      </w:r>
      <w:proofErr w:type="spellEnd"/>
      <w:r w:rsidRPr="00840DEC">
        <w:rPr>
          <w:rFonts w:ascii="Times" w:hAnsi="Times"/>
          <w:i/>
          <w:sz w:val="18"/>
          <w:szCs w:val="18"/>
        </w:rPr>
        <w:t xml:space="preserve"> et al</w:t>
      </w:r>
      <w:r w:rsidRPr="00840DEC">
        <w:rPr>
          <w:rFonts w:ascii="Times" w:hAnsi="Times"/>
          <w:sz w:val="18"/>
          <w:szCs w:val="18"/>
        </w:rPr>
        <w:t xml:space="preserve">. to </w:t>
      </w:r>
      <w:proofErr w:type="spellStart"/>
      <w:r w:rsidRPr="00840DEC">
        <w:rPr>
          <w:rFonts w:ascii="Times" w:hAnsi="Times"/>
          <w:i/>
          <w:sz w:val="18"/>
          <w:szCs w:val="18"/>
        </w:rPr>
        <w:t>Šainović</w:t>
      </w:r>
      <w:proofErr w:type="spellEnd"/>
      <w:r w:rsidRPr="00840DEC">
        <w:rPr>
          <w:rFonts w:ascii="Times" w:hAnsi="Times"/>
          <w:i/>
          <w:sz w:val="18"/>
          <w:szCs w:val="18"/>
        </w:rPr>
        <w:t xml:space="preserve"> et al</w:t>
      </w:r>
      <w:r w:rsidRPr="00840DEC">
        <w:rPr>
          <w:rFonts w:ascii="Times" w:hAnsi="Times"/>
          <w:sz w:val="18"/>
          <w:szCs w:val="18"/>
        </w:rPr>
        <w:t xml:space="preserve">, at: </w:t>
      </w:r>
      <w:hyperlink r:id="rId1" w:history="1">
        <w:r w:rsidRPr="00840DEC">
          <w:rPr>
            <w:rStyle w:val="Hyperlink"/>
            <w:rFonts w:ascii="Times" w:hAnsi="Times"/>
            <w:color w:val="auto"/>
            <w:sz w:val="18"/>
            <w:szCs w:val="18"/>
          </w:rPr>
          <w:t>http://www.icty.org/x/cases/milutinovic/tjug/en/jud090226-e1of4.pdf</w:t>
        </w:r>
      </w:hyperlink>
      <w:r w:rsidRPr="00840DEC">
        <w:rPr>
          <w:rStyle w:val="Hyperlink"/>
          <w:rFonts w:ascii="Times" w:hAnsi="Times"/>
          <w:color w:val="auto"/>
          <w:sz w:val="18"/>
          <w:szCs w:val="18"/>
          <w:u w:val="none"/>
        </w:rPr>
        <w:t xml:space="preserve"> (accessed 22 September 2017</w:t>
      </w:r>
      <w:r w:rsidRPr="00840DEC">
        <w:rPr>
          <w:rStyle w:val="Hyperlink"/>
          <w:rFonts w:ascii="Times" w:hAnsi="Times"/>
          <w:color w:val="auto"/>
          <w:sz w:val="18"/>
          <w:szCs w:val="18"/>
          <w:u w:val="none"/>
          <w:lang w:val="nl-NL"/>
        </w:rPr>
        <w:t>)</w:t>
      </w:r>
    </w:p>
  </w:footnote>
  <w:footnote w:id="42">
    <w:p w14:paraId="2ECBED0E" w14:textId="21793D59" w:rsidR="00D435DA" w:rsidRPr="00840DEC" w:rsidRDefault="00D435DA" w:rsidP="00207C82">
      <w:pPr>
        <w:pStyle w:val="NFootnotes"/>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rPr>
        <w:t xml:space="preserve"> </w:t>
      </w:r>
      <w:proofErr w:type="spellStart"/>
      <w:r w:rsidRPr="00840DEC">
        <w:rPr>
          <w:rStyle w:val="FootnoteTextChar3"/>
          <w:rFonts w:ascii="Times" w:hAnsi="Times"/>
          <w:sz w:val="18"/>
          <w:szCs w:val="18"/>
        </w:rPr>
        <w:t>Milošević</w:t>
      </w:r>
      <w:proofErr w:type="spellEnd"/>
      <w:r w:rsidRPr="00840DEC">
        <w:rPr>
          <w:rStyle w:val="FootnoteTextChar3"/>
          <w:rFonts w:ascii="Times" w:hAnsi="Times"/>
          <w:sz w:val="18"/>
          <w:szCs w:val="18"/>
        </w:rPr>
        <w:t xml:space="preserve"> said at the meeting that without war, ethnic separation in Bosnia and </w:t>
      </w:r>
      <w:proofErr w:type="spellStart"/>
      <w:r w:rsidRPr="00840DEC">
        <w:rPr>
          <w:rStyle w:val="FootnoteTextChar3"/>
          <w:rFonts w:ascii="Times" w:hAnsi="Times"/>
          <w:sz w:val="18"/>
          <w:szCs w:val="18"/>
        </w:rPr>
        <w:t>Herzogovina</w:t>
      </w:r>
      <w:proofErr w:type="spellEnd"/>
      <w:r w:rsidRPr="00840DEC">
        <w:rPr>
          <w:rStyle w:val="FootnoteTextChar3"/>
          <w:rFonts w:ascii="Times" w:hAnsi="Times"/>
          <w:sz w:val="18"/>
          <w:szCs w:val="18"/>
        </w:rPr>
        <w:t xml:space="preserve"> would have never been possible. “Stenographic transcript of the session of the State Council for Harmonisation of Positions on State Policy”, 09 January 1993, </w:t>
      </w:r>
      <w:r w:rsidRPr="00840DEC">
        <w:rPr>
          <w:rStyle w:val="FootnoteTextChar3"/>
          <w:rFonts w:ascii="Times" w:hAnsi="Times"/>
          <w:i/>
          <w:sz w:val="18"/>
          <w:szCs w:val="18"/>
        </w:rPr>
        <w:t xml:space="preserve">Prosecution v. </w:t>
      </w:r>
      <w:proofErr w:type="spellStart"/>
      <w:r w:rsidRPr="00840DEC">
        <w:rPr>
          <w:rStyle w:val="FootnoteTextChar3"/>
          <w:rFonts w:ascii="Times" w:hAnsi="Times"/>
          <w:i/>
          <w:sz w:val="18"/>
          <w:szCs w:val="18"/>
        </w:rPr>
        <w:t>Milošević</w:t>
      </w:r>
      <w:proofErr w:type="spellEnd"/>
      <w:r w:rsidRPr="00840DEC">
        <w:rPr>
          <w:rStyle w:val="FootnoteTextChar3"/>
          <w:rFonts w:ascii="Times" w:hAnsi="Times"/>
          <w:sz w:val="18"/>
          <w:szCs w:val="18"/>
        </w:rPr>
        <w:t>, Exhibit P469.40, p. 70.</w:t>
      </w:r>
    </w:p>
  </w:footnote>
  <w:footnote w:id="43">
    <w:p w14:paraId="6051F7C5" w14:textId="348FFF91" w:rsidR="00D435DA" w:rsidRPr="00840DEC" w:rsidRDefault="00D435DA" w:rsidP="00207C82">
      <w:pPr>
        <w:pStyle w:val="NFootnotes"/>
        <w:rPr>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vertAlign w:val="superscript"/>
        </w:rPr>
        <w:t xml:space="preserve"> </w:t>
      </w:r>
      <w:proofErr w:type="gramStart"/>
      <w:r w:rsidRPr="00840DEC">
        <w:rPr>
          <w:rStyle w:val="FootnoteTextChar3"/>
          <w:rFonts w:ascii="Times" w:hAnsi="Times"/>
          <w:sz w:val="18"/>
          <w:szCs w:val="18"/>
        </w:rPr>
        <w:t>Ibid.,</w:t>
      </w:r>
      <w:proofErr w:type="gramEnd"/>
      <w:r w:rsidRPr="00840DEC">
        <w:rPr>
          <w:rStyle w:val="FootnoteTextChar3"/>
          <w:rFonts w:ascii="Times" w:hAnsi="Times"/>
          <w:sz w:val="18"/>
          <w:szCs w:val="18"/>
        </w:rPr>
        <w:t xml:space="preserve"> p. 69.</w:t>
      </w:r>
    </w:p>
  </w:footnote>
  <w:footnote w:id="44">
    <w:p w14:paraId="439B178F" w14:textId="77777777" w:rsidR="00D435DA" w:rsidRPr="00840DEC" w:rsidRDefault="00D435DA" w:rsidP="00207C82">
      <w:pPr>
        <w:pStyle w:val="Footer"/>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rPr>
        <w:t xml:space="preserve"> “Stenographic transcript of the 25th session of the Supreme Defence Council,” 30 August 1994, </w:t>
      </w:r>
      <w:r w:rsidRPr="00840DEC">
        <w:rPr>
          <w:rFonts w:ascii="Times" w:hAnsi="Times"/>
          <w:i/>
          <w:sz w:val="18"/>
          <w:szCs w:val="18"/>
        </w:rPr>
        <w:t xml:space="preserve">Prosecutor v. </w:t>
      </w:r>
      <w:proofErr w:type="spellStart"/>
      <w:r w:rsidRPr="00840DEC">
        <w:rPr>
          <w:rFonts w:ascii="Times" w:hAnsi="Times"/>
          <w:i/>
          <w:sz w:val="18"/>
          <w:szCs w:val="18"/>
        </w:rPr>
        <w:t>Perišić</w:t>
      </w:r>
      <w:proofErr w:type="spellEnd"/>
      <w:r w:rsidRPr="00840DEC">
        <w:rPr>
          <w:rFonts w:ascii="Times" w:hAnsi="Times"/>
          <w:sz w:val="18"/>
          <w:szCs w:val="18"/>
        </w:rPr>
        <w:t xml:space="preserve">, </w:t>
      </w:r>
      <w:r w:rsidRPr="00840DEC">
        <w:rPr>
          <w:rStyle w:val="FootnoteTextChar3"/>
          <w:rFonts w:ascii="Times" w:hAnsi="Times"/>
          <w:sz w:val="18"/>
          <w:szCs w:val="18"/>
        </w:rPr>
        <w:t xml:space="preserve">Exhibit P00778.E, 37. The same document was tendered as an exhibit P667.25 in </w:t>
      </w:r>
      <w:r w:rsidRPr="00840DEC">
        <w:rPr>
          <w:rStyle w:val="FootnoteTextChar3"/>
          <w:rFonts w:ascii="Times" w:hAnsi="Times"/>
          <w:i/>
          <w:sz w:val="18"/>
          <w:szCs w:val="18"/>
        </w:rPr>
        <w:t>Prosecution v. Milo</w:t>
      </w:r>
      <w:r w:rsidRPr="00840DEC">
        <w:rPr>
          <w:rStyle w:val="FootnoteTextChar3"/>
          <w:rFonts w:ascii="Times" w:hAnsi="Times"/>
          <w:i/>
          <w:sz w:val="18"/>
          <w:szCs w:val="18"/>
          <w:lang w:val="hr-HR"/>
        </w:rPr>
        <w:t>š</w:t>
      </w:r>
      <w:proofErr w:type="spellStart"/>
      <w:r w:rsidRPr="00840DEC">
        <w:rPr>
          <w:rStyle w:val="FootnoteTextChar3"/>
          <w:rFonts w:ascii="Times" w:hAnsi="Times"/>
          <w:i/>
          <w:sz w:val="18"/>
          <w:szCs w:val="18"/>
        </w:rPr>
        <w:t>ević</w:t>
      </w:r>
      <w:proofErr w:type="spellEnd"/>
      <w:r w:rsidRPr="00840DEC">
        <w:rPr>
          <w:rStyle w:val="FootnoteTextChar3"/>
          <w:rFonts w:ascii="Times" w:hAnsi="Times"/>
          <w:sz w:val="18"/>
          <w:szCs w:val="18"/>
        </w:rPr>
        <w:t xml:space="preserve">. </w:t>
      </w:r>
    </w:p>
  </w:footnote>
  <w:footnote w:id="45">
    <w:p w14:paraId="2FE39E5E" w14:textId="7AD84810" w:rsidR="00D435DA" w:rsidRPr="00840DEC" w:rsidRDefault="00D435DA" w:rsidP="00207C82">
      <w:pPr>
        <w:pStyle w:val="Footer"/>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rPr>
        <w:t xml:space="preserve"> </w:t>
      </w:r>
      <w:proofErr w:type="gramStart"/>
      <w:r w:rsidRPr="00840DEC">
        <w:rPr>
          <w:rStyle w:val="FootnoteTextChar3"/>
          <w:rFonts w:ascii="Times" w:hAnsi="Times"/>
          <w:sz w:val="18"/>
          <w:szCs w:val="18"/>
        </w:rPr>
        <w:t>Ibid.,</w:t>
      </w:r>
      <w:proofErr w:type="gramEnd"/>
      <w:r w:rsidRPr="00840DEC">
        <w:rPr>
          <w:rStyle w:val="FootnoteTextChar3"/>
          <w:rFonts w:ascii="Times" w:hAnsi="Times"/>
          <w:sz w:val="18"/>
          <w:szCs w:val="18"/>
        </w:rPr>
        <w:t xml:space="preserve"> p. 39.</w:t>
      </w:r>
    </w:p>
  </w:footnote>
  <w:footnote w:id="46">
    <w:p w14:paraId="4A3F58AF" w14:textId="065A1F67" w:rsidR="00D435DA" w:rsidRPr="00840DEC" w:rsidRDefault="00D435DA" w:rsidP="00207C82">
      <w:pPr>
        <w:pStyle w:val="NT-Footnote"/>
        <w:rPr>
          <w:rFonts w:ascii="Times" w:hAnsi="Times" w:cs="Times New Roman"/>
          <w:sz w:val="18"/>
          <w:szCs w:val="18"/>
        </w:rPr>
      </w:pPr>
      <w:r w:rsidRPr="00840DEC">
        <w:rPr>
          <w:rStyle w:val="FootnoteReference"/>
          <w:rFonts w:ascii="Times" w:hAnsi="Times"/>
          <w:sz w:val="18"/>
          <w:szCs w:val="18"/>
        </w:rPr>
        <w:footnoteRef/>
      </w:r>
      <w:r w:rsidRPr="00840DEC">
        <w:rPr>
          <w:rFonts w:ascii="Times" w:hAnsi="Times" w:cs="Times New Roman"/>
          <w:sz w:val="18"/>
          <w:szCs w:val="18"/>
        </w:rPr>
        <w:t xml:space="preserve"> “Stenographic transcript of the session of the State Council for Harmonisation of Positions on State Policy”, 09 January 1993, </w:t>
      </w:r>
      <w:r w:rsidRPr="00840DEC">
        <w:rPr>
          <w:rFonts w:ascii="Times" w:hAnsi="Times" w:cs="Times New Roman"/>
          <w:i/>
          <w:sz w:val="18"/>
          <w:szCs w:val="18"/>
        </w:rPr>
        <w:t>Prosecution v. Milo</w:t>
      </w:r>
      <w:r w:rsidRPr="00840DEC">
        <w:rPr>
          <w:rFonts w:ascii="Times" w:hAnsi="Times" w:cs="Times New Roman"/>
          <w:i/>
          <w:sz w:val="18"/>
          <w:szCs w:val="18"/>
          <w:lang w:val="hr-HR"/>
        </w:rPr>
        <w:t>šević</w:t>
      </w:r>
      <w:r w:rsidRPr="00840DEC">
        <w:rPr>
          <w:rFonts w:ascii="Times" w:hAnsi="Times" w:cs="Times New Roman"/>
          <w:sz w:val="18"/>
          <w:szCs w:val="18"/>
          <w:lang w:val="hr-HR"/>
        </w:rPr>
        <w:t xml:space="preserve">, </w:t>
      </w:r>
      <w:r w:rsidRPr="00840DEC">
        <w:rPr>
          <w:rFonts w:ascii="Times" w:hAnsi="Times" w:cs="Times New Roman"/>
          <w:sz w:val="18"/>
          <w:szCs w:val="18"/>
        </w:rPr>
        <w:t>Exhibit P469.40., p. 70.</w:t>
      </w:r>
    </w:p>
  </w:footnote>
  <w:footnote w:id="47">
    <w:p w14:paraId="7B3A17EC" w14:textId="77777777" w:rsidR="00D435DA" w:rsidRPr="00840DEC" w:rsidRDefault="00D435DA" w:rsidP="00207C82">
      <w:pPr>
        <w:pStyle w:val="FootnoteText"/>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See for example: </w:t>
      </w:r>
      <w:hyperlink r:id="rId2" w:history="1">
        <w:r w:rsidRPr="00840DEC">
          <w:rPr>
            <w:rStyle w:val="Hyperlink"/>
            <w:rFonts w:ascii="Times" w:hAnsi="Times"/>
            <w:sz w:val="18"/>
            <w:szCs w:val="18"/>
          </w:rPr>
          <w:t>http://novi.ba/clanak/88814/nevenka-tromp-zlocinac-a-ne-heroj-i</w:t>
        </w:r>
      </w:hyperlink>
      <w:r w:rsidRPr="00840DEC">
        <w:rPr>
          <w:rFonts w:ascii="Times" w:hAnsi="Times"/>
          <w:sz w:val="18"/>
          <w:szCs w:val="18"/>
        </w:rPr>
        <w:t xml:space="preserve">; </w:t>
      </w:r>
      <w:hyperlink r:id="rId3" w:history="1">
        <w:r w:rsidRPr="00840DEC">
          <w:rPr>
            <w:rStyle w:val="Hyperlink"/>
            <w:rFonts w:ascii="Times" w:hAnsi="Times"/>
            <w:sz w:val="18"/>
            <w:szCs w:val="18"/>
          </w:rPr>
          <w:t>http://www.slobodnabosna.ba/vijest/46585/zasto_se_ivica_dachic_plasi_revizije_presude_prochitajte_tekst_sefa_srbijanske_diplomacije_koji_je_koristen_kao_dokaz_protiv_milosevica.html</w:t>
        </w:r>
      </w:hyperlink>
      <w:r w:rsidRPr="00840DEC">
        <w:rPr>
          <w:rFonts w:ascii="Times" w:hAnsi="Times"/>
          <w:sz w:val="18"/>
          <w:szCs w:val="18"/>
        </w:rPr>
        <w:t xml:space="preserve">; </w:t>
      </w:r>
      <w:hyperlink r:id="rId4" w:history="1">
        <w:r w:rsidRPr="00840DEC">
          <w:rPr>
            <w:rStyle w:val="Hyperlink"/>
            <w:rFonts w:ascii="Times" w:hAnsi="Times"/>
            <w:sz w:val="18"/>
            <w:szCs w:val="18"/>
          </w:rPr>
          <w:t>http://www.direktno24h.com/pogledajte-zasto-se-mali-sloba-boji-revizije-ovako-je-dacic-nekada-crtao-krvave-karte-velike-srbije/</w:t>
        </w:r>
      </w:hyperlink>
      <w:r w:rsidRPr="00840DEC">
        <w:rPr>
          <w:rFonts w:ascii="Times" w:hAnsi="Times"/>
          <w:sz w:val="18"/>
          <w:szCs w:val="18"/>
        </w:rPr>
        <w:t xml:space="preserve">; </w:t>
      </w:r>
      <w:hyperlink r:id="rId5" w:history="1">
        <w:r w:rsidRPr="00840DEC">
          <w:rPr>
            <w:rStyle w:val="Hyperlink"/>
            <w:rFonts w:ascii="Times" w:hAnsi="Times"/>
            <w:sz w:val="18"/>
            <w:szCs w:val="18"/>
          </w:rPr>
          <w:t>http://bportal.ba/foto-zasto-se-mali-sloba-boji-revizije-ovako-je-dacic-nekada-crtao-karte-velike-srbije/</w:t>
        </w:r>
      </w:hyperlink>
      <w:r w:rsidRPr="00840DEC">
        <w:rPr>
          <w:rFonts w:ascii="Times" w:hAnsi="Times"/>
          <w:sz w:val="18"/>
          <w:szCs w:val="18"/>
        </w:rPr>
        <w:t xml:space="preserve">. </w:t>
      </w:r>
    </w:p>
  </w:footnote>
  <w:footnote w:id="48">
    <w:p w14:paraId="7EB4BD94" w14:textId="5D87E46F"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I. </w:t>
      </w:r>
      <w:proofErr w:type="spellStart"/>
      <w:r w:rsidRPr="00840DEC">
        <w:rPr>
          <w:rFonts w:ascii="Times" w:hAnsi="Times"/>
          <w:sz w:val="18"/>
          <w:szCs w:val="18"/>
        </w:rPr>
        <w:t>Dačić</w:t>
      </w:r>
      <w:proofErr w:type="spellEnd"/>
      <w:r w:rsidRPr="00840DEC">
        <w:rPr>
          <w:rFonts w:ascii="Times" w:hAnsi="Times"/>
          <w:sz w:val="18"/>
          <w:szCs w:val="18"/>
        </w:rPr>
        <w:t xml:space="preserve">, </w:t>
      </w:r>
      <w:r w:rsidRPr="00840DEC">
        <w:rPr>
          <w:rStyle w:val="FootnoteTextChar3"/>
          <w:rFonts w:ascii="Times" w:hAnsi="Times"/>
          <w:sz w:val="18"/>
          <w:szCs w:val="18"/>
        </w:rPr>
        <w:t xml:space="preserve">“Yugoslavia for the Third Time”, </w:t>
      </w:r>
      <w:proofErr w:type="spellStart"/>
      <w:r w:rsidRPr="00840DEC">
        <w:rPr>
          <w:rStyle w:val="FootnoteTextChar3"/>
          <w:rFonts w:ascii="Times" w:hAnsi="Times"/>
          <w:i/>
          <w:sz w:val="18"/>
          <w:szCs w:val="18"/>
        </w:rPr>
        <w:t>Epoha</w:t>
      </w:r>
      <w:proofErr w:type="spellEnd"/>
      <w:r w:rsidRPr="00840DEC">
        <w:rPr>
          <w:rStyle w:val="FootnoteTextChar3"/>
          <w:rFonts w:ascii="Times" w:hAnsi="Times"/>
          <w:sz w:val="18"/>
          <w:szCs w:val="18"/>
        </w:rPr>
        <w:t xml:space="preserve"> No. 12, 7 January 1992, Exhibit </w:t>
      </w:r>
      <w:proofErr w:type="gramStart"/>
      <w:r w:rsidRPr="00840DEC">
        <w:rPr>
          <w:rStyle w:val="FootnoteTextChar3"/>
          <w:rFonts w:ascii="Times" w:hAnsi="Times"/>
          <w:sz w:val="18"/>
          <w:szCs w:val="18"/>
        </w:rPr>
        <w:t>P808a ,</w:t>
      </w:r>
      <w:proofErr w:type="gramEnd"/>
      <w:r w:rsidRPr="00840DEC">
        <w:rPr>
          <w:rStyle w:val="FootnoteTextChar3"/>
          <w:rFonts w:ascii="Times" w:hAnsi="Times"/>
          <w:sz w:val="18"/>
          <w:szCs w:val="18"/>
        </w:rPr>
        <w:t xml:space="preserve"> </w:t>
      </w:r>
      <w:r w:rsidRPr="00840DEC">
        <w:rPr>
          <w:rStyle w:val="FootnoteTextChar3"/>
          <w:rFonts w:ascii="Times" w:hAnsi="Times"/>
          <w:i/>
          <w:sz w:val="18"/>
          <w:szCs w:val="18"/>
        </w:rPr>
        <w:t xml:space="preserve">Prosecution v. Slobodan </w:t>
      </w:r>
      <w:proofErr w:type="spellStart"/>
      <w:r w:rsidRPr="00840DEC">
        <w:rPr>
          <w:rStyle w:val="FootnoteTextChar3"/>
          <w:rFonts w:ascii="Times" w:hAnsi="Times"/>
          <w:i/>
          <w:sz w:val="18"/>
          <w:szCs w:val="18"/>
        </w:rPr>
        <w:t>Milošević</w:t>
      </w:r>
      <w:proofErr w:type="spellEnd"/>
      <w:r w:rsidRPr="00840DEC">
        <w:rPr>
          <w:rStyle w:val="FootnoteTextChar3"/>
          <w:rFonts w:ascii="Times" w:hAnsi="Times"/>
          <w:sz w:val="18"/>
          <w:szCs w:val="18"/>
        </w:rPr>
        <w:t>, ICTY Case No. IT-02-54.</w:t>
      </w:r>
    </w:p>
  </w:footnote>
  <w:footnote w:id="49">
    <w:p w14:paraId="7D9BF674" w14:textId="5F7E5C46" w:rsidR="00D435DA" w:rsidRPr="00840DEC" w:rsidRDefault="00D435DA" w:rsidP="00207C82">
      <w:pPr>
        <w:pStyle w:val="FootnoteText"/>
        <w:rPr>
          <w:rFonts w:ascii="Times" w:hAnsi="Times"/>
          <w:sz w:val="18"/>
          <w:szCs w:val="18"/>
          <w:lang w:val="hr-HR"/>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One can argue that the ICTY indictment of General Momčilo Perišić led to “under prosecution” and eventually to his acquittal.</w:t>
      </w:r>
    </w:p>
  </w:footnote>
  <w:footnote w:id="50">
    <w:p w14:paraId="634ABD7F" w14:textId="69C97187"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 xml:space="preserve">One </w:t>
      </w:r>
      <w:r w:rsidRPr="00840DEC">
        <w:rPr>
          <w:rFonts w:ascii="Times" w:hAnsi="Times"/>
          <w:sz w:val="18"/>
          <w:szCs w:val="18"/>
          <w:lang w:val="nl-NL"/>
        </w:rPr>
        <w:t>early example of “over prosecution” is probably the case of Tihomil Bla</w:t>
      </w:r>
      <w:r w:rsidRPr="00840DEC">
        <w:rPr>
          <w:rFonts w:ascii="Times" w:hAnsi="Times"/>
          <w:sz w:val="18"/>
          <w:szCs w:val="18"/>
          <w:lang w:val="hr-HR"/>
        </w:rPr>
        <w:t>š</w:t>
      </w:r>
      <w:r w:rsidRPr="00840DEC">
        <w:rPr>
          <w:rFonts w:ascii="Times" w:hAnsi="Times"/>
          <w:sz w:val="18"/>
          <w:szCs w:val="18"/>
          <w:lang w:val="nl-NL"/>
        </w:rPr>
        <w:t xml:space="preserve">kić, a Bosnian Croat military commander, who was first sentenced to 45 years imprisonment. The Appeals Chamber reduced the sentence to 9 years. </w:t>
      </w:r>
    </w:p>
  </w:footnote>
  <w:footnote w:id="51">
    <w:p w14:paraId="45549504" w14:textId="1390DCA3"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“Joint Criminal Enterprise” denotes a mode of criminal liability of all participants in a common criminal plan. See A. Cassese “The Proper Limits of Individual Responsibility under Doctrine of Joint Criminal Enterprise”, </w:t>
      </w:r>
      <w:r w:rsidRPr="00840DEC">
        <w:rPr>
          <w:rFonts w:ascii="Times" w:hAnsi="Times"/>
          <w:i/>
          <w:sz w:val="18"/>
          <w:szCs w:val="18"/>
        </w:rPr>
        <w:t>Journal of International Criminal Justice</w:t>
      </w:r>
      <w:r w:rsidRPr="00840DEC">
        <w:rPr>
          <w:rFonts w:ascii="Times" w:hAnsi="Times"/>
          <w:sz w:val="18"/>
          <w:szCs w:val="18"/>
        </w:rPr>
        <w:t>, V (2007), pp. 110-111.</w:t>
      </w:r>
    </w:p>
  </w:footnote>
  <w:footnote w:id="52">
    <w:p w14:paraId="58E59929" w14:textId="3DF4A288" w:rsidR="00D435DA" w:rsidRPr="00840DEC" w:rsidRDefault="00D435DA" w:rsidP="00207C82">
      <w:pPr>
        <w:pStyle w:val="FootnoteText"/>
        <w:rPr>
          <w:rFonts w:ascii="Times" w:hAnsi="Times"/>
          <w:sz w:val="18"/>
          <w:szCs w:val="18"/>
          <w:lang w:val="hr-HR"/>
        </w:rPr>
      </w:pPr>
      <w:r w:rsidRPr="00840DEC">
        <w:rPr>
          <w:rStyle w:val="FootnoteReference"/>
          <w:rFonts w:ascii="Times" w:hAnsi="Times"/>
          <w:sz w:val="18"/>
          <w:szCs w:val="18"/>
        </w:rPr>
        <w:footnoteRef/>
      </w:r>
      <w:r w:rsidRPr="00840DEC">
        <w:rPr>
          <w:rFonts w:ascii="Times" w:hAnsi="Times"/>
          <w:sz w:val="18"/>
          <w:szCs w:val="18"/>
        </w:rPr>
        <w:t xml:space="preserve"> See for discussion H. van der Wilt “Joint Criminal Enterprise: Possibilities and Limitations”, </w:t>
      </w:r>
      <w:r w:rsidRPr="00840DEC">
        <w:rPr>
          <w:rFonts w:ascii="Times" w:hAnsi="Times"/>
          <w:i/>
          <w:sz w:val="18"/>
          <w:szCs w:val="18"/>
        </w:rPr>
        <w:t>Journal of International Criminal Justice</w:t>
      </w:r>
      <w:r w:rsidRPr="00840DEC">
        <w:rPr>
          <w:rFonts w:ascii="Times" w:hAnsi="Times"/>
          <w:sz w:val="18"/>
          <w:szCs w:val="18"/>
        </w:rPr>
        <w:t xml:space="preserve">, V (2007), pp. 91-108; </w:t>
      </w:r>
      <w:r w:rsidRPr="00840DEC">
        <w:rPr>
          <w:rFonts w:ascii="Times" w:eastAsiaTheme="minorEastAsia" w:hAnsi="Times"/>
          <w:color w:val="000000"/>
          <w:sz w:val="18"/>
          <w:szCs w:val="18"/>
          <w:lang w:val="en-US"/>
        </w:rPr>
        <w:t xml:space="preserve">A. M. Danner and J. S. Martinez, “Guilty Associations: Joint Criminal Enterprise, Command Responsibility and the Development of International Criminal Law”, </w:t>
      </w:r>
      <w:r w:rsidRPr="00840DEC">
        <w:rPr>
          <w:rFonts w:ascii="Times" w:eastAsiaTheme="minorEastAsia" w:hAnsi="Times"/>
          <w:i/>
          <w:color w:val="000000"/>
          <w:sz w:val="18"/>
          <w:szCs w:val="18"/>
          <w:lang w:val="en-US"/>
        </w:rPr>
        <w:t>California Law Review</w:t>
      </w:r>
      <w:r w:rsidRPr="00840DEC">
        <w:rPr>
          <w:rFonts w:ascii="Times" w:eastAsiaTheme="minorEastAsia" w:hAnsi="Times"/>
          <w:color w:val="000000"/>
          <w:sz w:val="18"/>
          <w:szCs w:val="18"/>
          <w:lang w:val="en-US"/>
        </w:rPr>
        <w:t>, XCIII (2005), p. 108.</w:t>
      </w:r>
    </w:p>
  </w:footnote>
  <w:footnote w:id="53">
    <w:p w14:paraId="7B31AA82" w14:textId="207EC226"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Some names mentioned in the indictment as Perišić’s subordinates were: General Ratko Mladić, General Dragomir Milošević, General Stanislav Galić, General Zdravko Tolimir and Colonel Vujadin Popović. All of them have been tried at the ICTY and found guilty for the crimes committed in Sarajevo and Srebenica, two notorious crime sites in the Bosnia and Herzogovina War.</w:t>
      </w:r>
    </w:p>
  </w:footnote>
  <w:footnote w:id="54">
    <w:p w14:paraId="02B51666" w14:textId="32C5AE9D" w:rsidR="00D435DA" w:rsidRPr="00840DEC" w:rsidRDefault="00D435DA" w:rsidP="00207C82">
      <w:pPr>
        <w:pStyle w:val="NT-Footnote"/>
        <w:rPr>
          <w:rFonts w:ascii="Times" w:hAnsi="Times" w:cs="Times New Roman"/>
          <w:sz w:val="18"/>
          <w:szCs w:val="18"/>
          <w:highlight w:val="yellow"/>
          <w:lang w:val="hr-HR"/>
        </w:rPr>
      </w:pPr>
      <w:r w:rsidRPr="00840DEC">
        <w:rPr>
          <w:rStyle w:val="FootnoteReference"/>
          <w:rFonts w:ascii="Times" w:hAnsi="Times"/>
          <w:sz w:val="18"/>
          <w:szCs w:val="18"/>
        </w:rPr>
        <w:footnoteRef/>
      </w:r>
      <w:r w:rsidRPr="00840DEC">
        <w:rPr>
          <w:rFonts w:ascii="Times" w:hAnsi="Times" w:cs="Times New Roman"/>
          <w:sz w:val="18"/>
          <w:szCs w:val="18"/>
        </w:rPr>
        <w:t xml:space="preserve"> </w:t>
      </w:r>
      <w:r w:rsidRPr="00840DEC">
        <w:rPr>
          <w:rFonts w:ascii="Times" w:hAnsi="Times" w:cs="Times New Roman"/>
          <w:sz w:val="18"/>
          <w:szCs w:val="18"/>
          <w:lang w:val="en-US"/>
        </w:rPr>
        <w:t xml:space="preserve">See </w:t>
      </w:r>
      <w:r w:rsidRPr="00840DEC">
        <w:rPr>
          <w:rFonts w:ascii="Times" w:hAnsi="Times" w:cs="Times New Roman"/>
          <w:i/>
          <w:sz w:val="18"/>
          <w:szCs w:val="18"/>
          <w:lang w:val="en-US"/>
        </w:rPr>
        <w:t>Prosecutor v. Mom</w:t>
      </w:r>
      <w:r w:rsidRPr="00840DEC">
        <w:rPr>
          <w:rFonts w:ascii="Times" w:hAnsi="Times" w:cs="Times New Roman"/>
          <w:i/>
          <w:sz w:val="18"/>
          <w:szCs w:val="18"/>
          <w:lang w:val="hr-HR"/>
        </w:rPr>
        <w:t>čilo Perišić</w:t>
      </w:r>
      <w:r w:rsidRPr="00840DEC">
        <w:rPr>
          <w:rFonts w:ascii="Times" w:hAnsi="Times" w:cs="Times New Roman"/>
          <w:color w:val="000000"/>
          <w:sz w:val="18"/>
          <w:szCs w:val="18"/>
          <w:lang w:val="en-US"/>
        </w:rPr>
        <w:t xml:space="preserve">, Appeals Judgment and Summary Judgment, ICTY </w:t>
      </w:r>
      <w:r w:rsidRPr="00840DEC">
        <w:rPr>
          <w:rFonts w:ascii="Times" w:hAnsi="Times" w:cs="Times New Roman"/>
          <w:sz w:val="18"/>
          <w:szCs w:val="18"/>
          <w:lang w:val="hr-HR"/>
        </w:rPr>
        <w:t xml:space="preserve">Case No. </w:t>
      </w:r>
      <w:r w:rsidRPr="00840DEC">
        <w:rPr>
          <w:rFonts w:ascii="Times" w:hAnsi="Times" w:cs="Times New Roman"/>
          <w:color w:val="000000"/>
          <w:sz w:val="18"/>
          <w:szCs w:val="18"/>
          <w:lang w:val="en-US"/>
        </w:rPr>
        <w:t>IT-04-81-A, 28 February 2013,</w:t>
      </w:r>
      <w:r w:rsidRPr="00840DEC">
        <w:rPr>
          <w:rFonts w:ascii="Times" w:hAnsi="Times" w:cs="Times New Roman"/>
          <w:sz w:val="18"/>
          <w:szCs w:val="18"/>
          <w:lang w:val="hr-HR"/>
        </w:rPr>
        <w:t xml:space="preserve"> at</w:t>
      </w:r>
      <w:r w:rsidRPr="00840DEC">
        <w:rPr>
          <w:rFonts w:ascii="Times" w:hAnsi="Times" w:cs="Times New Roman"/>
          <w:sz w:val="18"/>
          <w:szCs w:val="18"/>
          <w:lang w:val="en-US"/>
        </w:rPr>
        <w:t xml:space="preserve">: </w:t>
      </w:r>
    </w:p>
    <w:p w14:paraId="7828FBA7" w14:textId="77777777" w:rsidR="00D435DA" w:rsidRPr="00840DEC" w:rsidRDefault="00E064BF" w:rsidP="00207C82">
      <w:pPr>
        <w:pStyle w:val="NT-Footnote"/>
        <w:rPr>
          <w:rFonts w:ascii="Times" w:hAnsi="Times" w:cs="Times New Roman"/>
          <w:sz w:val="18"/>
          <w:szCs w:val="18"/>
        </w:rPr>
      </w:pPr>
      <w:hyperlink r:id="rId6" w:history="1">
        <w:r w:rsidR="00D435DA" w:rsidRPr="00840DEC">
          <w:rPr>
            <w:rStyle w:val="Hyperlink"/>
            <w:rFonts w:ascii="Times" w:hAnsi="Times"/>
            <w:sz w:val="18"/>
            <w:szCs w:val="18"/>
            <w:lang w:val="en-US"/>
          </w:rPr>
          <w:t>http://www.icty.org/x/cases/perisic/acjug/en/130228_judgement.pdf</w:t>
        </w:r>
      </w:hyperlink>
      <w:r w:rsidR="00D435DA" w:rsidRPr="00840DEC">
        <w:rPr>
          <w:rFonts w:ascii="Times" w:hAnsi="Times" w:cs="Times New Roman"/>
          <w:color w:val="000000"/>
          <w:sz w:val="18"/>
          <w:szCs w:val="18"/>
          <w:lang w:val="en-US"/>
        </w:rPr>
        <w:t xml:space="preserve">;  </w:t>
      </w:r>
      <w:hyperlink r:id="rId7" w:history="1">
        <w:r w:rsidR="00D435DA" w:rsidRPr="00840DEC">
          <w:rPr>
            <w:rStyle w:val="Hyperlink"/>
            <w:rFonts w:ascii="Times" w:hAnsi="Times"/>
            <w:sz w:val="18"/>
            <w:szCs w:val="18"/>
            <w:lang w:val="en-US"/>
          </w:rPr>
          <w:t>http://www.icty.org/x/cases/perisic/acjug/en/130228_summary.pdf</w:t>
        </w:r>
      </w:hyperlink>
    </w:p>
  </w:footnote>
  <w:footnote w:id="55">
    <w:p w14:paraId="788FF504" w14:textId="6A6E219E" w:rsidR="00D435DA" w:rsidRPr="00840DEC" w:rsidRDefault="00D435DA" w:rsidP="00207C82">
      <w:pPr>
        <w:pStyle w:val="NT-Footnote"/>
        <w:rPr>
          <w:rFonts w:ascii="Times" w:hAnsi="Times" w:cs="Times New Roman"/>
          <w:sz w:val="18"/>
          <w:szCs w:val="18"/>
        </w:rPr>
      </w:pPr>
      <w:r w:rsidRPr="00840DEC">
        <w:rPr>
          <w:rStyle w:val="FootnoteReference"/>
          <w:rFonts w:ascii="Times" w:hAnsi="Times"/>
          <w:sz w:val="18"/>
          <w:szCs w:val="18"/>
        </w:rPr>
        <w:footnoteRef/>
      </w:r>
      <w:r w:rsidRPr="00840DEC">
        <w:rPr>
          <w:rFonts w:ascii="Times" w:hAnsi="Times" w:cs="Times New Roman"/>
          <w:sz w:val="18"/>
          <w:szCs w:val="18"/>
        </w:rPr>
        <w:t xml:space="preserve"> </w:t>
      </w:r>
      <w:r w:rsidRPr="00840DEC">
        <w:rPr>
          <w:rFonts w:ascii="Times" w:hAnsi="Times" w:cs="Times New Roman"/>
          <w:sz w:val="18"/>
          <w:szCs w:val="18"/>
          <w:lang w:val="hr-HR"/>
        </w:rPr>
        <w:t xml:space="preserve">K. </w:t>
      </w:r>
      <w:r w:rsidRPr="00840DEC">
        <w:rPr>
          <w:rFonts w:ascii="Times" w:hAnsi="Times" w:cs="Times New Roman"/>
          <w:sz w:val="18"/>
          <w:szCs w:val="18"/>
          <w:lang w:val="hr-HR"/>
        </w:rPr>
        <w:t xml:space="preserve">Roth, </w:t>
      </w:r>
      <w:r w:rsidRPr="00840DEC">
        <w:rPr>
          <w:rFonts w:ascii="Times" w:hAnsi="Times" w:cs="Times New Roman"/>
          <w:sz w:val="18"/>
          <w:szCs w:val="18"/>
          <w:lang w:val="en-US"/>
        </w:rPr>
        <w:t>“</w:t>
      </w:r>
      <w:r w:rsidRPr="00840DEC">
        <w:rPr>
          <w:rFonts w:ascii="Times" w:hAnsi="Times" w:cs="Times New Roman"/>
          <w:sz w:val="18"/>
          <w:szCs w:val="18"/>
        </w:rPr>
        <w:t xml:space="preserve">A Tribunal’s Legal Stumble”, </w:t>
      </w:r>
      <w:r w:rsidRPr="00840DEC">
        <w:rPr>
          <w:rFonts w:ascii="Times" w:hAnsi="Times" w:cs="Times New Roman"/>
          <w:i/>
          <w:sz w:val="18"/>
          <w:szCs w:val="18"/>
        </w:rPr>
        <w:t>New York Times</w:t>
      </w:r>
      <w:r w:rsidRPr="00840DEC">
        <w:rPr>
          <w:rFonts w:ascii="Times" w:hAnsi="Times" w:cs="Times New Roman"/>
          <w:sz w:val="18"/>
          <w:szCs w:val="18"/>
        </w:rPr>
        <w:t>, 9 July 2013, at: http://www.nytimes.com/2013/07/10/opinion/global/a-tribunals-legal-stumble.html?_r=0</w:t>
      </w:r>
    </w:p>
  </w:footnote>
  <w:footnote w:id="56">
    <w:p w14:paraId="45B78B98" w14:textId="635C1142" w:rsidR="00D435DA" w:rsidRPr="00840DEC" w:rsidRDefault="00D435DA" w:rsidP="00207C82">
      <w:pPr>
        <w:pStyle w:val="NT-Footnote"/>
        <w:rPr>
          <w:rFonts w:ascii="Times" w:hAnsi="Times" w:cs="Times New Roman"/>
          <w:sz w:val="18"/>
          <w:szCs w:val="18"/>
        </w:rPr>
      </w:pPr>
      <w:r w:rsidRPr="00840DEC">
        <w:rPr>
          <w:rStyle w:val="FootnoteReference"/>
          <w:rFonts w:ascii="Times" w:hAnsi="Times"/>
          <w:sz w:val="18"/>
          <w:szCs w:val="18"/>
        </w:rPr>
        <w:footnoteRef/>
      </w:r>
      <w:r w:rsidRPr="00840DEC">
        <w:rPr>
          <w:rFonts w:ascii="Times" w:eastAsiaTheme="minorEastAsia" w:hAnsi="Times" w:cs="Times New Roman"/>
          <w:sz w:val="18"/>
          <w:szCs w:val="18"/>
        </w:rPr>
        <w:t xml:space="preserve"> E. Gordy, “Hague Verdicts Allow Commanders to Evade Justice”, </w:t>
      </w:r>
      <w:r w:rsidRPr="00840DEC">
        <w:rPr>
          <w:rFonts w:ascii="Times" w:eastAsiaTheme="minorEastAsia" w:hAnsi="Times" w:cs="Times New Roman"/>
          <w:i/>
          <w:sz w:val="18"/>
          <w:szCs w:val="18"/>
        </w:rPr>
        <w:t>BIRN</w:t>
      </w:r>
      <w:r w:rsidRPr="00840DEC">
        <w:rPr>
          <w:rFonts w:ascii="Times" w:eastAsiaTheme="minorEastAsia" w:hAnsi="Times" w:cs="Times New Roman"/>
          <w:sz w:val="18"/>
          <w:szCs w:val="18"/>
        </w:rPr>
        <w:t>, 01 March 2013, at: http://www.balkaninsight.com/en/article/hague-verdicts-allow-commanders-to-evade-justice</w:t>
      </w:r>
    </w:p>
  </w:footnote>
  <w:footnote w:id="57">
    <w:p w14:paraId="2D732AD9" w14:textId="6B6704D5"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 xml:space="preserve">Lord I. Bonomy, Lecture at the “Master Class on law, History, Politics and Society in the Context of Mass Atrocities,“ held at the Inter University Centre, Dubrovnik, 11 July 2016. </w:t>
      </w:r>
    </w:p>
  </w:footnote>
  <w:footnote w:id="58">
    <w:p w14:paraId="363F9E80" w14:textId="7A6AD5B3" w:rsidR="00D435DA" w:rsidRPr="00840DEC" w:rsidRDefault="00D435DA" w:rsidP="00207C82">
      <w:pPr>
        <w:pStyle w:val="Footer"/>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rPr>
        <w:t xml:space="preserve"> See the sections titled “State Cooperation” or “Cooperation” in the Annual Reports submitted by the ICTY President to the UN Security Council from 2000 to 2006, at: http://www.icty.org/tabs/14/1.</w:t>
      </w:r>
    </w:p>
  </w:footnote>
  <w:footnote w:id="59">
    <w:p w14:paraId="41B05BE8" w14:textId="4359F748" w:rsidR="00D435DA" w:rsidRPr="00840DEC" w:rsidRDefault="00D435DA" w:rsidP="00207C82">
      <w:pPr>
        <w:pStyle w:val="Footer"/>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rPr>
        <w:t xml:space="preserve"> The FRY, or the Federal Republic of Yugoslavia, existed from 1992 to 2003 as a federation of the republics of Serbia and Montenegro. In 2003, it became known as Serbia and Montenegro, until Montenegro chose independence in 2006. In ICTY documents it is difficult to distinguish between the FRY and Serbia and Montenegro from the Republic of Serbia, given the political dominance of Serbia in each incarnation of the federation.</w:t>
      </w:r>
    </w:p>
  </w:footnote>
  <w:footnote w:id="60">
    <w:p w14:paraId="25C2B118" w14:textId="07DE52B3" w:rsidR="00D435DA" w:rsidRPr="00840DEC" w:rsidRDefault="00D435DA" w:rsidP="00207C82">
      <w:pPr>
        <w:pStyle w:val="NT-Footnote"/>
        <w:rPr>
          <w:rFonts w:ascii="Times" w:hAnsi="Times" w:cs="Times New Roman"/>
          <w:sz w:val="18"/>
          <w:szCs w:val="18"/>
        </w:rPr>
      </w:pPr>
      <w:r w:rsidRPr="00840DEC">
        <w:rPr>
          <w:rStyle w:val="FootnoteReference"/>
          <w:rFonts w:ascii="Times" w:hAnsi="Times"/>
          <w:sz w:val="18"/>
          <w:szCs w:val="18"/>
        </w:rPr>
        <w:footnoteRef/>
      </w:r>
      <w:r w:rsidRPr="00840DEC">
        <w:rPr>
          <w:rFonts w:ascii="Times" w:hAnsi="Times" w:cs="Times New Roman"/>
          <w:sz w:val="18"/>
          <w:szCs w:val="18"/>
        </w:rPr>
        <w:t xml:space="preserve"> On 20 March 1993, </w:t>
      </w:r>
      <w:r w:rsidRPr="00840DEC">
        <w:rPr>
          <w:rFonts w:ascii="Times New Roman" w:hAnsi="Times New Roman" w:cs="Times New Roman"/>
          <w:sz w:val="18"/>
          <w:szCs w:val="18"/>
        </w:rPr>
        <w:t xml:space="preserve">Bosnia and </w:t>
      </w:r>
      <w:proofErr w:type="spellStart"/>
      <w:r w:rsidRPr="00840DEC">
        <w:rPr>
          <w:rFonts w:ascii="Times New Roman" w:hAnsi="Times New Roman" w:cs="Times New Roman"/>
          <w:sz w:val="18"/>
          <w:szCs w:val="18"/>
        </w:rPr>
        <w:t>Herzogovina</w:t>
      </w:r>
      <w:proofErr w:type="spellEnd"/>
      <w:r w:rsidRPr="00840DEC">
        <w:rPr>
          <w:rFonts w:ascii="Times" w:hAnsi="Times" w:cs="Times New Roman"/>
          <w:sz w:val="18"/>
          <w:szCs w:val="18"/>
        </w:rPr>
        <w:t xml:space="preserve"> filed a case with the ICJ against the Federal Republic of Yugoslavia for breaching the 1951 Convention on the Prevention and Punishment of the Crime of Genocide.</w:t>
      </w:r>
      <w:r w:rsidRPr="00840DEC">
        <w:rPr>
          <w:rFonts w:ascii="Times" w:hAnsi="Times" w:cs="Times New Roman"/>
          <w:i/>
          <w:iCs/>
          <w:sz w:val="18"/>
          <w:szCs w:val="18"/>
        </w:rPr>
        <w:t xml:space="preserve"> </w:t>
      </w:r>
      <w:r w:rsidRPr="00840DEC">
        <w:rPr>
          <w:rFonts w:ascii="Times" w:hAnsi="Times" w:cs="Times New Roman"/>
          <w:sz w:val="18"/>
          <w:szCs w:val="18"/>
        </w:rPr>
        <w:t>In February 2007, Serbia was found not to be responsible for genocide,</w:t>
      </w:r>
      <w:r w:rsidRPr="00840DEC">
        <w:rPr>
          <w:rFonts w:ascii="Times" w:eastAsia="Maiandra GD" w:hAnsi="Times" w:cs="Times New Roman"/>
          <w:sz w:val="18"/>
          <w:szCs w:val="18"/>
          <w:lang w:val="en-US"/>
        </w:rPr>
        <w:t xml:space="preserve"> but was found to be in breach of the </w:t>
      </w:r>
      <w:hyperlink r:id="rId8" w:history="1">
        <w:r w:rsidRPr="00840DEC">
          <w:rPr>
            <w:rFonts w:ascii="Times" w:eastAsia="Maiandra GD" w:hAnsi="Times" w:cs="Times New Roman"/>
            <w:sz w:val="18"/>
            <w:szCs w:val="18"/>
            <w:lang w:val="en-US"/>
          </w:rPr>
          <w:t>Convention</w:t>
        </w:r>
      </w:hyperlink>
      <w:r w:rsidRPr="00840DEC">
        <w:rPr>
          <w:rFonts w:ascii="Times" w:eastAsia="Maiandra GD" w:hAnsi="Times" w:cs="Times New Roman"/>
          <w:sz w:val="18"/>
          <w:szCs w:val="18"/>
          <w:lang w:val="en-US"/>
        </w:rPr>
        <w:t xml:space="preserve"> by failing to prevent the genocide from occurring and for not cooperating with the </w:t>
      </w:r>
      <w:hyperlink r:id="rId9" w:history="1">
        <w:r w:rsidRPr="00840DEC">
          <w:rPr>
            <w:rFonts w:ascii="Times" w:eastAsia="Maiandra GD" w:hAnsi="Times" w:cs="Times New Roman"/>
            <w:sz w:val="18"/>
            <w:szCs w:val="18"/>
            <w:lang w:val="en-US"/>
          </w:rPr>
          <w:t>ICTY</w:t>
        </w:r>
      </w:hyperlink>
      <w:r w:rsidRPr="00840DEC">
        <w:rPr>
          <w:rFonts w:ascii="Times" w:eastAsia="Maiandra GD" w:hAnsi="Times" w:cs="Times New Roman"/>
          <w:sz w:val="18"/>
          <w:szCs w:val="18"/>
          <w:lang w:val="en-US"/>
        </w:rPr>
        <w:t xml:space="preserve"> in punishing the perpetrators of the genocide. </w:t>
      </w:r>
      <w:r w:rsidRPr="00840DEC">
        <w:rPr>
          <w:rFonts w:ascii="Times" w:hAnsi="Times" w:cs="Times New Roman"/>
          <w:sz w:val="18"/>
          <w:szCs w:val="18"/>
        </w:rPr>
        <w:t xml:space="preserve">Croatia and the Republic of Serbia alleged genocide convention breaches against each other at the ICJ that were both rejected by the court in February 2015. </w:t>
      </w:r>
    </w:p>
  </w:footnote>
  <w:footnote w:id="61">
    <w:p w14:paraId="3910A914" w14:textId="77174CAE" w:rsidR="00D435DA" w:rsidRPr="00840DEC" w:rsidRDefault="00D435DA" w:rsidP="00207C82">
      <w:pPr>
        <w:pStyle w:val="NFootnotes"/>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See </w:t>
      </w:r>
      <w:r w:rsidRPr="00840DEC">
        <w:rPr>
          <w:rFonts w:ascii="Times" w:hAnsi="Times"/>
          <w:i/>
          <w:sz w:val="18"/>
          <w:szCs w:val="18"/>
        </w:rPr>
        <w:t>Prosecutor v.</w:t>
      </w:r>
      <w:r w:rsidRPr="00840DEC">
        <w:rPr>
          <w:rFonts w:ascii="Times" w:hAnsi="Times"/>
          <w:sz w:val="18"/>
          <w:szCs w:val="18"/>
        </w:rPr>
        <w:t xml:space="preserve"> </w:t>
      </w:r>
      <w:r w:rsidRPr="00840DEC">
        <w:rPr>
          <w:rFonts w:ascii="Times" w:hAnsi="Times"/>
          <w:i/>
          <w:sz w:val="18"/>
          <w:szCs w:val="18"/>
        </w:rPr>
        <w:t>Milo</w:t>
      </w:r>
      <w:r w:rsidRPr="00840DEC">
        <w:rPr>
          <w:rFonts w:ascii="Times" w:hAnsi="Times"/>
          <w:i/>
          <w:sz w:val="18"/>
          <w:szCs w:val="18"/>
          <w:lang w:val="hr-HR"/>
        </w:rPr>
        <w:t>še</w:t>
      </w:r>
      <w:proofErr w:type="spellStart"/>
      <w:r w:rsidRPr="00840DEC">
        <w:rPr>
          <w:rFonts w:ascii="Times" w:hAnsi="Times"/>
          <w:i/>
          <w:sz w:val="18"/>
          <w:szCs w:val="18"/>
        </w:rPr>
        <w:t>vić</w:t>
      </w:r>
      <w:proofErr w:type="spellEnd"/>
      <w:r w:rsidRPr="00840DEC">
        <w:rPr>
          <w:rFonts w:ascii="Times" w:hAnsi="Times"/>
          <w:sz w:val="18"/>
          <w:szCs w:val="18"/>
        </w:rPr>
        <w:t xml:space="preserve"> Trial Chamber Decision on the Motion for Judgment of Acquittal), ICTY Case No. IT-02-54-T, 16 June 2004, </w:t>
      </w:r>
      <w:r w:rsidRPr="00840DEC">
        <w:rPr>
          <w:rFonts w:ascii="Times" w:hAnsi="Times"/>
          <w:sz w:val="18"/>
          <w:szCs w:val="18"/>
          <w:lang w:val="nl-NL"/>
        </w:rPr>
        <w:t>§</w:t>
      </w:r>
      <w:r w:rsidRPr="00840DEC">
        <w:rPr>
          <w:rFonts w:ascii="Times" w:hAnsi="Times"/>
          <w:sz w:val="18"/>
          <w:szCs w:val="18"/>
        </w:rPr>
        <w:t>138.</w:t>
      </w:r>
    </w:p>
  </w:footnote>
  <w:footnote w:id="62">
    <w:p w14:paraId="4F33496B" w14:textId="120C2F7D" w:rsidR="00D435DA" w:rsidRPr="00840DEC" w:rsidRDefault="00D435DA" w:rsidP="00207C82">
      <w:pPr>
        <w:pStyle w:val="NFootnotes"/>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See</w:t>
      </w:r>
      <w:r w:rsidRPr="00840DEC">
        <w:rPr>
          <w:rFonts w:ascii="Times" w:hAnsi="Times"/>
          <w:sz w:val="18"/>
          <w:szCs w:val="18"/>
          <w:lang w:val="nl-NL"/>
        </w:rPr>
        <w:t xml:space="preserve"> </w:t>
      </w:r>
      <w:r w:rsidRPr="00840DEC">
        <w:rPr>
          <w:rFonts w:ascii="Times" w:hAnsi="Times"/>
          <w:sz w:val="18"/>
          <w:szCs w:val="18"/>
        </w:rPr>
        <w:t xml:space="preserve">Prosecution Response to the 6 May 2003 Submission by Serbia and Montenegro Regarding Outstanding Requests for Assistance, ICTY Case No. IT-02-54-T, 20 May 2003. Footnote 15 of the Motion refers to the 12 July 2002 document, Prosecution’s Application for an Order Pursuant to Rule 54 </w:t>
      </w:r>
      <w:proofErr w:type="spellStart"/>
      <w:r w:rsidRPr="00840DEC">
        <w:rPr>
          <w:rFonts w:ascii="Times" w:hAnsi="Times"/>
          <w:sz w:val="18"/>
          <w:szCs w:val="18"/>
        </w:rPr>
        <w:t>bis</w:t>
      </w:r>
      <w:proofErr w:type="spellEnd"/>
      <w:r w:rsidRPr="00840DEC">
        <w:rPr>
          <w:rFonts w:ascii="Times" w:hAnsi="Times"/>
          <w:sz w:val="18"/>
          <w:szCs w:val="18"/>
        </w:rPr>
        <w:t xml:space="preserve"> Directing the Federal Republic of Yugoslavia to Produce Documents. In this document, the Prosecution submitted that, on 28 June 2002, the OTP received an official response to its April 2001 RFA to the Federal Republic of Yugoslavia.  In this response </w:t>
      </w:r>
      <w:proofErr w:type="spellStart"/>
      <w:r w:rsidRPr="00840DEC">
        <w:rPr>
          <w:rFonts w:ascii="Times" w:hAnsi="Times"/>
          <w:sz w:val="18"/>
          <w:szCs w:val="18"/>
        </w:rPr>
        <w:t>Dr.</w:t>
      </w:r>
      <w:proofErr w:type="spellEnd"/>
      <w:r w:rsidRPr="00840DEC">
        <w:rPr>
          <w:rFonts w:ascii="Times" w:hAnsi="Times"/>
          <w:sz w:val="18"/>
          <w:szCs w:val="18"/>
        </w:rPr>
        <w:t xml:space="preserve"> </w:t>
      </w:r>
      <w:proofErr w:type="spellStart"/>
      <w:r w:rsidRPr="00840DEC">
        <w:rPr>
          <w:rFonts w:ascii="Times" w:hAnsi="Times"/>
          <w:sz w:val="18"/>
          <w:szCs w:val="18"/>
        </w:rPr>
        <w:t>Nebojša</w:t>
      </w:r>
      <w:proofErr w:type="spellEnd"/>
      <w:r w:rsidRPr="00840DEC">
        <w:rPr>
          <w:rFonts w:ascii="Times" w:hAnsi="Times"/>
          <w:sz w:val="18"/>
          <w:szCs w:val="18"/>
        </w:rPr>
        <w:t xml:space="preserve"> </w:t>
      </w:r>
      <w:proofErr w:type="spellStart"/>
      <w:r w:rsidRPr="00840DEC">
        <w:rPr>
          <w:rFonts w:ascii="Times" w:hAnsi="Times"/>
          <w:sz w:val="18"/>
          <w:szCs w:val="18"/>
        </w:rPr>
        <w:t>Šarkić</w:t>
      </w:r>
      <w:proofErr w:type="spellEnd"/>
      <w:r w:rsidRPr="00840DEC">
        <w:rPr>
          <w:rFonts w:ascii="Times" w:hAnsi="Times"/>
          <w:sz w:val="18"/>
          <w:szCs w:val="18"/>
        </w:rPr>
        <w:t xml:space="preserve"> of the Federal Ministry of Justice informed the OTP that the Prosecution could not at that time inspect two documents regarding Slobodan </w:t>
      </w:r>
      <w:proofErr w:type="spellStart"/>
      <w:r w:rsidRPr="00840DEC">
        <w:rPr>
          <w:rFonts w:ascii="Times" w:hAnsi="Times"/>
          <w:sz w:val="18"/>
          <w:szCs w:val="18"/>
        </w:rPr>
        <w:t>Milošević’s</w:t>
      </w:r>
      <w:proofErr w:type="spellEnd"/>
      <w:r w:rsidRPr="00840DEC">
        <w:rPr>
          <w:rFonts w:ascii="Times" w:hAnsi="Times"/>
          <w:sz w:val="18"/>
          <w:szCs w:val="18"/>
        </w:rPr>
        <w:t xml:space="preserve"> arrest in Belgrade: the Decision on Arrest, dated 2 April 2001, and the Court Decision upon the Same Complaint, dated 3 April 2001, Minister </w:t>
      </w:r>
      <w:proofErr w:type="spellStart"/>
      <w:r w:rsidRPr="00840DEC">
        <w:rPr>
          <w:rFonts w:ascii="Times" w:hAnsi="Times"/>
          <w:sz w:val="18"/>
          <w:szCs w:val="18"/>
        </w:rPr>
        <w:t>Šarkić</w:t>
      </w:r>
      <w:proofErr w:type="spellEnd"/>
      <w:r w:rsidRPr="00840DEC">
        <w:rPr>
          <w:rFonts w:ascii="Times" w:hAnsi="Times"/>
          <w:sz w:val="18"/>
          <w:szCs w:val="18"/>
        </w:rPr>
        <w:t xml:space="preserve"> noted that inspection would be “possible upon termination of disputes of FR Yugoslavia with Bosnia and Herzegovina and Croatia before the International Court of Justice”. </w:t>
      </w:r>
    </w:p>
  </w:footnote>
  <w:footnote w:id="63">
    <w:p w14:paraId="7D946FF3" w14:textId="7AD651BC" w:rsidR="00D435DA" w:rsidRPr="00840DEC" w:rsidRDefault="00D435DA" w:rsidP="00207C82">
      <w:pPr>
        <w:pStyle w:val="FootnoteText"/>
        <w:rPr>
          <w:rFonts w:ascii="Times" w:hAnsi="Times"/>
          <w:sz w:val="18"/>
          <w:szCs w:val="18"/>
          <w:highlight w:val="red"/>
          <w:lang w:val="hr-HR"/>
        </w:rPr>
      </w:pPr>
      <w:r w:rsidRPr="00840DEC">
        <w:rPr>
          <w:rStyle w:val="FootnoteReference"/>
          <w:rFonts w:ascii="Times" w:hAnsi="Times"/>
          <w:sz w:val="18"/>
          <w:szCs w:val="18"/>
        </w:rPr>
        <w:footnoteRef/>
      </w:r>
      <w:r w:rsidRPr="00840DEC">
        <w:rPr>
          <w:rFonts w:ascii="Times" w:hAnsi="Times"/>
          <w:sz w:val="18"/>
          <w:szCs w:val="18"/>
        </w:rPr>
        <w:t xml:space="preserve"> See Tromp, note 6 above, p. 177</w:t>
      </w:r>
      <w:r w:rsidRPr="00840DEC">
        <w:rPr>
          <w:rFonts w:ascii="Times" w:hAnsi="Times"/>
          <w:sz w:val="18"/>
          <w:szCs w:val="18"/>
          <w:lang w:val="nl-NL"/>
        </w:rPr>
        <w:t xml:space="preserve">; </w:t>
      </w:r>
      <w:r w:rsidRPr="00840DEC">
        <w:rPr>
          <w:rFonts w:ascii="Times" w:hAnsi="Times"/>
          <w:sz w:val="18"/>
          <w:szCs w:val="18"/>
        </w:rPr>
        <w:t>G. Nice and N. Tromp</w:t>
      </w:r>
      <w:r w:rsidRPr="00840DEC">
        <w:rPr>
          <w:rFonts w:ascii="Times" w:hAnsi="Times"/>
          <w:i/>
          <w:sz w:val="18"/>
          <w:szCs w:val="18"/>
        </w:rPr>
        <w:t>, “</w:t>
      </w:r>
      <w:r w:rsidRPr="00840DEC">
        <w:rPr>
          <w:rFonts w:ascii="Times" w:hAnsi="Times"/>
          <w:color w:val="000000"/>
          <w:sz w:val="18"/>
          <w:szCs w:val="18"/>
        </w:rPr>
        <w:t xml:space="preserve">International Criminal Tribunals and Cooperation with States: </w:t>
      </w:r>
      <w:r w:rsidRPr="00840DEC">
        <w:rPr>
          <w:rFonts w:ascii="Times" w:hAnsi="Times"/>
          <w:iCs/>
          <w:color w:val="000000"/>
          <w:sz w:val="18"/>
          <w:szCs w:val="18"/>
        </w:rPr>
        <w:t xml:space="preserve">Serbia and the Provision of Evidence for the Slobodan </w:t>
      </w:r>
      <w:proofErr w:type="spellStart"/>
      <w:r w:rsidRPr="00840DEC">
        <w:rPr>
          <w:rFonts w:ascii="Times" w:hAnsi="Times"/>
          <w:iCs/>
          <w:color w:val="000000"/>
          <w:sz w:val="18"/>
          <w:szCs w:val="18"/>
        </w:rPr>
        <w:t>Miloševi</w:t>
      </w:r>
      <w:proofErr w:type="spellEnd"/>
      <w:r w:rsidRPr="00840DEC">
        <w:rPr>
          <w:rFonts w:ascii="Times" w:hAnsi="Times"/>
          <w:iCs/>
          <w:color w:val="000000"/>
          <w:sz w:val="18"/>
          <w:szCs w:val="18"/>
          <w:lang w:val="hr-HR"/>
        </w:rPr>
        <w:t>ć</w:t>
      </w:r>
      <w:r w:rsidRPr="00840DEC">
        <w:rPr>
          <w:rFonts w:ascii="Times" w:hAnsi="Times"/>
          <w:color w:val="000000"/>
          <w:position w:val="2"/>
          <w:sz w:val="18"/>
          <w:szCs w:val="18"/>
        </w:rPr>
        <w:t xml:space="preserve"> </w:t>
      </w:r>
      <w:r w:rsidRPr="00840DEC">
        <w:rPr>
          <w:rFonts w:ascii="Times" w:hAnsi="Times"/>
          <w:iCs/>
          <w:color w:val="000000"/>
          <w:sz w:val="18"/>
          <w:szCs w:val="18"/>
        </w:rPr>
        <w:t xml:space="preserve">Trial at the ICTY”, in </w:t>
      </w:r>
      <w:r w:rsidRPr="00840DEC">
        <w:rPr>
          <w:rFonts w:ascii="Times" w:hAnsi="Times"/>
          <w:iCs/>
          <w:sz w:val="18"/>
          <w:szCs w:val="18"/>
          <w:lang w:val="en-US"/>
        </w:rPr>
        <w:t xml:space="preserve">D. </w:t>
      </w:r>
      <w:proofErr w:type="spellStart"/>
      <w:r w:rsidRPr="00840DEC">
        <w:rPr>
          <w:rFonts w:ascii="Times" w:hAnsi="Times"/>
          <w:iCs/>
          <w:sz w:val="18"/>
          <w:szCs w:val="18"/>
          <w:lang w:val="en-US"/>
        </w:rPr>
        <w:t>Amann</w:t>
      </w:r>
      <w:proofErr w:type="spellEnd"/>
      <w:r w:rsidRPr="00840DEC">
        <w:rPr>
          <w:rFonts w:ascii="Times" w:hAnsi="Times"/>
          <w:iCs/>
          <w:sz w:val="18"/>
          <w:szCs w:val="18"/>
          <w:lang w:val="en-US"/>
        </w:rPr>
        <w:t xml:space="preserve"> and M. de Guzman (eds.)</w:t>
      </w:r>
      <w:r w:rsidRPr="00840DEC">
        <w:rPr>
          <w:rFonts w:ascii="Times" w:hAnsi="Times"/>
          <w:i/>
          <w:iCs/>
          <w:sz w:val="18"/>
          <w:szCs w:val="18"/>
          <w:lang w:val="en-US"/>
        </w:rPr>
        <w:t xml:space="preserve">, Arcs of Global Justice; Essays in Honor of William A. </w:t>
      </w:r>
      <w:proofErr w:type="spellStart"/>
      <w:r w:rsidRPr="00840DEC">
        <w:rPr>
          <w:rFonts w:ascii="Times" w:hAnsi="Times"/>
          <w:i/>
          <w:iCs/>
          <w:sz w:val="18"/>
          <w:szCs w:val="18"/>
          <w:lang w:val="en-US"/>
        </w:rPr>
        <w:t>Schabas</w:t>
      </w:r>
      <w:proofErr w:type="spellEnd"/>
      <w:r w:rsidRPr="00840DEC">
        <w:rPr>
          <w:rFonts w:ascii="Times" w:hAnsi="Times"/>
          <w:i/>
          <w:iCs/>
          <w:sz w:val="18"/>
          <w:szCs w:val="18"/>
          <w:lang w:val="en-US"/>
        </w:rPr>
        <w:t xml:space="preserve"> </w:t>
      </w:r>
      <w:r w:rsidRPr="00840DEC">
        <w:rPr>
          <w:rFonts w:ascii="Times" w:hAnsi="Times"/>
          <w:iCs/>
          <w:sz w:val="18"/>
          <w:szCs w:val="18"/>
          <w:lang w:val="en-US"/>
        </w:rPr>
        <w:t xml:space="preserve">(2017), p. 455. </w:t>
      </w:r>
    </w:p>
  </w:footnote>
  <w:footnote w:id="64">
    <w:p w14:paraId="4297B490" w14:textId="2FCE2C6A" w:rsidR="00D435DA" w:rsidRPr="00840DEC" w:rsidRDefault="00D435DA" w:rsidP="00207C82">
      <w:pPr>
        <w:pStyle w:val="Footer"/>
        <w:rPr>
          <w:rStyle w:val="FootnoteTextChar"/>
          <w:rFonts w:ascii="Times" w:hAnsi="Times"/>
          <w:sz w:val="18"/>
          <w:szCs w:val="18"/>
        </w:rPr>
      </w:pPr>
      <w:r w:rsidRPr="00840DEC">
        <w:rPr>
          <w:rStyle w:val="FootnoteTextChar"/>
          <w:rFonts w:ascii="Times" w:hAnsi="Times"/>
          <w:sz w:val="18"/>
          <w:szCs w:val="18"/>
          <w:vertAlign w:val="superscript"/>
        </w:rPr>
        <w:footnoteRef/>
      </w:r>
      <w:r w:rsidRPr="00840DEC">
        <w:rPr>
          <w:rStyle w:val="FootnoteTextChar"/>
          <w:rFonts w:ascii="Times" w:hAnsi="Times"/>
          <w:sz w:val="18"/>
          <w:szCs w:val="18"/>
        </w:rPr>
        <w:t xml:space="preserve"> J. </w:t>
      </w:r>
      <w:proofErr w:type="spellStart"/>
      <w:r w:rsidRPr="00840DEC">
        <w:rPr>
          <w:rStyle w:val="FootnoteTextChar"/>
          <w:rFonts w:ascii="Times" w:hAnsi="Times"/>
          <w:sz w:val="18"/>
          <w:szCs w:val="18"/>
        </w:rPr>
        <w:t>Subotić</w:t>
      </w:r>
      <w:proofErr w:type="spellEnd"/>
      <w:r w:rsidRPr="00840DEC">
        <w:rPr>
          <w:rStyle w:val="FootnoteTextChar"/>
          <w:rFonts w:ascii="Times" w:hAnsi="Times"/>
          <w:sz w:val="18"/>
          <w:szCs w:val="18"/>
        </w:rPr>
        <w:t xml:space="preserve">, </w:t>
      </w:r>
      <w:r w:rsidRPr="00840DEC">
        <w:rPr>
          <w:rStyle w:val="FootnoteTextChar"/>
          <w:rFonts w:ascii="Times" w:hAnsi="Times"/>
          <w:i/>
          <w:sz w:val="18"/>
          <w:szCs w:val="18"/>
        </w:rPr>
        <w:t>Hijacked Justice</w:t>
      </w:r>
      <w:r w:rsidRPr="00840DEC">
        <w:rPr>
          <w:rStyle w:val="FootnoteTextChar"/>
          <w:rFonts w:ascii="Times" w:hAnsi="Times"/>
          <w:sz w:val="18"/>
          <w:szCs w:val="18"/>
        </w:rPr>
        <w:t xml:space="preserve"> (2009).</w:t>
      </w:r>
    </w:p>
  </w:footnote>
  <w:footnote w:id="65">
    <w:p w14:paraId="50F6D8BF" w14:textId="44382C86" w:rsidR="00D435DA" w:rsidRPr="00840DEC" w:rsidRDefault="00D435DA" w:rsidP="00207C82">
      <w:pPr>
        <w:pStyle w:val="FootnoteText"/>
        <w:rPr>
          <w:rFonts w:ascii="Times" w:hAnsi="Times"/>
          <w:sz w:val="18"/>
          <w:szCs w:val="18"/>
          <w:lang w:val="hr-HR"/>
        </w:rPr>
      </w:pPr>
      <w:r w:rsidRPr="00840DEC">
        <w:rPr>
          <w:rStyle w:val="FootnoteReference"/>
          <w:rFonts w:ascii="Times" w:hAnsi="Times"/>
          <w:sz w:val="18"/>
          <w:szCs w:val="18"/>
        </w:rPr>
        <w:footnoteRef/>
      </w:r>
      <w:r w:rsidRPr="00840DEC">
        <w:rPr>
          <w:rFonts w:ascii="Times" w:hAnsi="Times"/>
          <w:sz w:val="18"/>
          <w:szCs w:val="18"/>
        </w:rPr>
        <w:t xml:space="preserve"> See more on the importance of the ICJ proceedings</w:t>
      </w:r>
      <w:r w:rsidRPr="00840DEC">
        <w:rPr>
          <w:rFonts w:ascii="Times" w:hAnsi="Times"/>
          <w:sz w:val="18"/>
          <w:szCs w:val="18"/>
          <w:lang w:val="nl-NL"/>
        </w:rPr>
        <w:t>:</w:t>
      </w:r>
      <w:r w:rsidRPr="00840DEC">
        <w:rPr>
          <w:rFonts w:ascii="Times" w:hAnsi="Times"/>
          <w:iCs/>
          <w:sz w:val="18"/>
          <w:szCs w:val="18"/>
          <w:lang w:val="en-US"/>
        </w:rPr>
        <w:t xml:space="preserve"> </w:t>
      </w:r>
      <w:r w:rsidRPr="00840DEC">
        <w:rPr>
          <w:rFonts w:ascii="Times" w:hAnsi="Times"/>
          <w:sz w:val="18"/>
          <w:szCs w:val="18"/>
          <w:lang w:val="nl-NL"/>
        </w:rPr>
        <w:t>Nice and Tromp</w:t>
      </w:r>
      <w:r w:rsidRPr="00840DEC">
        <w:rPr>
          <w:rFonts w:ascii="Times" w:hAnsi="Times"/>
          <w:color w:val="000000"/>
          <w:sz w:val="18"/>
          <w:szCs w:val="18"/>
        </w:rPr>
        <w:t>, note 60 above, pp. 445-465.</w:t>
      </w:r>
    </w:p>
  </w:footnote>
  <w:footnote w:id="66">
    <w:p w14:paraId="28E5E876" w14:textId="6380C27E" w:rsidR="00D435DA" w:rsidRPr="00840DEC" w:rsidRDefault="00D435DA" w:rsidP="00207C82">
      <w:pPr>
        <w:pStyle w:val="FootnoteText"/>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See the ICJ Judgment, </w:t>
      </w:r>
      <w:r w:rsidRPr="00840DEC">
        <w:rPr>
          <w:rFonts w:ascii="Times" w:hAnsi="Times"/>
          <w:i/>
          <w:sz w:val="18"/>
          <w:szCs w:val="18"/>
        </w:rPr>
        <w:t>Case Concerning Application of the Convention on the Prevention and Punishment of the Crime of Genocide</w:t>
      </w:r>
      <w:r w:rsidRPr="00840DEC">
        <w:rPr>
          <w:rFonts w:ascii="Times" w:hAnsi="Times"/>
          <w:sz w:val="18"/>
          <w:szCs w:val="18"/>
        </w:rPr>
        <w:t xml:space="preserve"> (</w:t>
      </w:r>
      <w:r w:rsidRPr="00840DEC">
        <w:rPr>
          <w:rFonts w:ascii="Times" w:hAnsi="Times"/>
          <w:i/>
          <w:sz w:val="18"/>
          <w:szCs w:val="18"/>
        </w:rPr>
        <w:t xml:space="preserve">Bosnia and Herzegovina </w:t>
      </w:r>
      <w:r w:rsidRPr="00840DEC">
        <w:rPr>
          <w:rFonts w:ascii="Times" w:hAnsi="Times"/>
          <w:i/>
          <w:iCs/>
          <w:sz w:val="18"/>
          <w:szCs w:val="18"/>
        </w:rPr>
        <w:t xml:space="preserve">v. </w:t>
      </w:r>
      <w:r w:rsidRPr="00840DEC">
        <w:rPr>
          <w:rFonts w:ascii="Times" w:hAnsi="Times"/>
          <w:i/>
          <w:sz w:val="18"/>
          <w:szCs w:val="18"/>
        </w:rPr>
        <w:t>Serbia and Montenegro</w:t>
      </w:r>
      <w:r w:rsidRPr="00840DEC">
        <w:rPr>
          <w:rFonts w:ascii="Times" w:hAnsi="Times"/>
          <w:sz w:val="18"/>
          <w:szCs w:val="18"/>
        </w:rPr>
        <w:t>)</w:t>
      </w:r>
      <w:r w:rsidRPr="00840DEC">
        <w:rPr>
          <w:rFonts w:ascii="Times" w:hAnsi="Times"/>
          <w:sz w:val="18"/>
          <w:szCs w:val="18"/>
          <w:lang w:val="nl-NL"/>
        </w:rPr>
        <w:t>,</w:t>
      </w:r>
      <w:r w:rsidRPr="00840DEC">
        <w:rPr>
          <w:rFonts w:ascii="Times" w:hAnsi="Times"/>
          <w:sz w:val="18"/>
          <w:szCs w:val="18"/>
        </w:rPr>
        <w:t xml:space="preserve"> </w:t>
      </w:r>
      <w:r w:rsidRPr="00840DEC">
        <w:rPr>
          <w:rFonts w:ascii="Times" w:hAnsi="Times"/>
          <w:bCs/>
          <w:sz w:val="18"/>
          <w:szCs w:val="18"/>
        </w:rPr>
        <w:t>26 February 2007</w:t>
      </w:r>
      <w:r w:rsidRPr="00840DEC">
        <w:rPr>
          <w:rFonts w:ascii="Times" w:hAnsi="Times"/>
          <w:bCs/>
          <w:sz w:val="18"/>
          <w:szCs w:val="18"/>
          <w:lang w:val="nl-NL"/>
        </w:rPr>
        <w:t>, at:</w:t>
      </w:r>
      <w:r w:rsidRPr="00840DEC">
        <w:rPr>
          <w:rFonts w:ascii="Times" w:hAnsi="Times"/>
          <w:bCs/>
          <w:sz w:val="18"/>
          <w:szCs w:val="18"/>
        </w:rPr>
        <w:t xml:space="preserve"> </w:t>
      </w:r>
      <w:r w:rsidRPr="00840DEC">
        <w:rPr>
          <w:rFonts w:ascii="Times" w:hAnsi="Times"/>
          <w:sz w:val="18"/>
          <w:szCs w:val="18"/>
        </w:rPr>
        <w:t>http://www.icj-cij.org/files/case-related/91/091-20070226-JUD-01-00-EN.pdf</w:t>
      </w:r>
    </w:p>
  </w:footnote>
  <w:footnote w:id="67">
    <w:p w14:paraId="1713BEE0" w14:textId="5B17A6E7"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nl-NL"/>
        </w:rPr>
        <w:t>See for a full account of the significance of the SDC-documents: Nice and Tromp</w:t>
      </w:r>
      <w:r w:rsidRPr="00840DEC">
        <w:rPr>
          <w:rFonts w:ascii="Times" w:hAnsi="Times"/>
          <w:color w:val="000000"/>
          <w:sz w:val="18"/>
          <w:szCs w:val="18"/>
        </w:rPr>
        <w:t xml:space="preserve">, note 60 above, pp. </w:t>
      </w:r>
      <w:r w:rsidRPr="00840DEC">
        <w:rPr>
          <w:rFonts w:ascii="Times" w:hAnsi="Times"/>
          <w:iCs/>
          <w:sz w:val="18"/>
          <w:szCs w:val="18"/>
          <w:lang w:val="en-US"/>
        </w:rPr>
        <w:t>451-452.</w:t>
      </w:r>
    </w:p>
  </w:footnote>
  <w:footnote w:id="68">
    <w:p w14:paraId="6B8E6034" w14:textId="26A0F167" w:rsidR="00D435DA" w:rsidRPr="00840DEC" w:rsidRDefault="00D435DA" w:rsidP="00207C82">
      <w:pPr>
        <w:pStyle w:val="NFootnotes"/>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See the ICJ Judgement, </w:t>
      </w:r>
      <w:r w:rsidRPr="00840DEC">
        <w:rPr>
          <w:rFonts w:ascii="Times" w:hAnsi="Times"/>
          <w:i/>
          <w:sz w:val="18"/>
          <w:szCs w:val="18"/>
        </w:rPr>
        <w:t>Case Concerning Application of the Convention on the Prevention and Punishment of the Crime of Genocide</w:t>
      </w:r>
      <w:r w:rsidRPr="00840DEC">
        <w:rPr>
          <w:rFonts w:ascii="Times" w:hAnsi="Times"/>
          <w:sz w:val="18"/>
          <w:szCs w:val="18"/>
        </w:rPr>
        <w:t xml:space="preserve"> (</w:t>
      </w:r>
      <w:r w:rsidRPr="00840DEC">
        <w:rPr>
          <w:rFonts w:ascii="Times" w:hAnsi="Times"/>
          <w:i/>
          <w:sz w:val="18"/>
          <w:szCs w:val="18"/>
        </w:rPr>
        <w:t xml:space="preserve">Bosnia and Herzegovina </w:t>
      </w:r>
      <w:r w:rsidRPr="00840DEC">
        <w:rPr>
          <w:rFonts w:ascii="Times" w:hAnsi="Times"/>
          <w:i/>
          <w:iCs/>
          <w:sz w:val="18"/>
          <w:szCs w:val="18"/>
        </w:rPr>
        <w:t xml:space="preserve">v. </w:t>
      </w:r>
      <w:r w:rsidRPr="00840DEC">
        <w:rPr>
          <w:rFonts w:ascii="Times" w:hAnsi="Times"/>
          <w:i/>
          <w:sz w:val="18"/>
          <w:szCs w:val="18"/>
        </w:rPr>
        <w:t>Serbia and Montenegro</w:t>
      </w:r>
      <w:r w:rsidRPr="00840DEC">
        <w:rPr>
          <w:rFonts w:ascii="Times" w:hAnsi="Times"/>
          <w:sz w:val="18"/>
          <w:szCs w:val="18"/>
        </w:rPr>
        <w:t>)</w:t>
      </w:r>
      <w:r w:rsidRPr="00840DEC">
        <w:rPr>
          <w:rFonts w:ascii="Times" w:hAnsi="Times"/>
          <w:sz w:val="18"/>
          <w:szCs w:val="18"/>
          <w:lang w:val="nl-NL"/>
        </w:rPr>
        <w:t>,</w:t>
      </w:r>
      <w:r w:rsidRPr="00840DEC">
        <w:rPr>
          <w:rFonts w:ascii="Times" w:hAnsi="Times"/>
          <w:sz w:val="18"/>
          <w:szCs w:val="18"/>
        </w:rPr>
        <w:t xml:space="preserve"> </w:t>
      </w:r>
      <w:r w:rsidRPr="00840DEC">
        <w:rPr>
          <w:rFonts w:ascii="Times" w:hAnsi="Times"/>
          <w:bCs/>
          <w:sz w:val="18"/>
          <w:szCs w:val="18"/>
        </w:rPr>
        <w:t>26 February 2007</w:t>
      </w:r>
      <w:r w:rsidRPr="00840DEC">
        <w:rPr>
          <w:rFonts w:ascii="Times" w:hAnsi="Times"/>
          <w:bCs/>
          <w:sz w:val="18"/>
          <w:szCs w:val="18"/>
          <w:lang w:val="nl-NL"/>
        </w:rPr>
        <w:t>, at:</w:t>
      </w:r>
      <w:r w:rsidRPr="00840DEC">
        <w:rPr>
          <w:rFonts w:ascii="Times" w:hAnsi="Times"/>
          <w:bCs/>
          <w:sz w:val="18"/>
          <w:szCs w:val="18"/>
        </w:rPr>
        <w:t xml:space="preserve"> </w:t>
      </w:r>
      <w:r w:rsidRPr="00840DEC">
        <w:rPr>
          <w:rFonts w:ascii="Times" w:hAnsi="Times"/>
          <w:sz w:val="18"/>
          <w:szCs w:val="18"/>
        </w:rPr>
        <w:t>http://www.icj-cij.org/files/case-related/91/091-20070226-JUD-01-00-EN.pdf</w:t>
      </w:r>
    </w:p>
  </w:footnote>
  <w:footnote w:id="69">
    <w:p w14:paraId="34DA26F4" w14:textId="4826749B" w:rsidR="00D435DA" w:rsidRPr="00840DEC" w:rsidRDefault="00D435DA" w:rsidP="00207C82">
      <w:pPr>
        <w:pStyle w:val="NFootnotes"/>
        <w:rPr>
          <w:rFonts w:ascii="Times" w:hAnsi="Times"/>
          <w:sz w:val="18"/>
          <w:szCs w:val="18"/>
          <w:lang w:val="hr-HR"/>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hr-HR"/>
        </w:rPr>
        <w:t xml:space="preserve">See the statement by Serb offiicials that the protection was meant to keep these documents from the ICJ,  </w:t>
      </w:r>
      <w:r w:rsidRPr="00840DEC">
        <w:rPr>
          <w:rFonts w:ascii="Times" w:hAnsi="Times"/>
          <w:sz w:val="18"/>
          <w:szCs w:val="18"/>
        </w:rPr>
        <w:t>“</w:t>
      </w:r>
      <w:r w:rsidRPr="00840DEC">
        <w:rPr>
          <w:rFonts w:ascii="Times" w:eastAsia="Times New Roman" w:hAnsi="Times"/>
          <w:sz w:val="18"/>
          <w:szCs w:val="18"/>
          <w:shd w:val="clear" w:color="auto" w:fill="FFFFFF"/>
        </w:rPr>
        <w:t xml:space="preserve">IWPR was told by sources in Belgrade and The Hague that the special protective measures for the SDC documents were requested solely in order to ensure that they would not be cited as evidence at the ICJ”. Quoted in: </w:t>
      </w:r>
      <w:r w:rsidRPr="00840DEC">
        <w:rPr>
          <w:rFonts w:ascii="Times" w:hAnsi="Times"/>
          <w:sz w:val="18"/>
          <w:szCs w:val="18"/>
        </w:rPr>
        <w:t xml:space="preserve">H. Griffiths and A. </w:t>
      </w:r>
      <w:proofErr w:type="spellStart"/>
      <w:r w:rsidRPr="00840DEC">
        <w:rPr>
          <w:rFonts w:ascii="Times" w:hAnsi="Times"/>
          <w:sz w:val="18"/>
          <w:szCs w:val="18"/>
        </w:rPr>
        <w:t>Uzelac</w:t>
      </w:r>
      <w:proofErr w:type="spellEnd"/>
      <w:r w:rsidRPr="00840DEC">
        <w:rPr>
          <w:rFonts w:ascii="Times" w:hAnsi="Times"/>
          <w:sz w:val="18"/>
          <w:szCs w:val="18"/>
        </w:rPr>
        <w:t>, “Justice at What Price?</w:t>
      </w:r>
      <w:proofErr w:type="gramStart"/>
      <w:r w:rsidRPr="00840DEC">
        <w:rPr>
          <w:rFonts w:ascii="Times" w:hAnsi="Times"/>
          <w:sz w:val="18"/>
          <w:szCs w:val="18"/>
        </w:rPr>
        <w:t>”,</w:t>
      </w:r>
      <w:proofErr w:type="gramEnd"/>
      <w:r w:rsidRPr="00840DEC">
        <w:rPr>
          <w:rFonts w:ascii="Times" w:hAnsi="Times"/>
          <w:sz w:val="18"/>
          <w:szCs w:val="18"/>
        </w:rPr>
        <w:t xml:space="preserve"> IWPR </w:t>
      </w:r>
      <w:r w:rsidRPr="00840DEC">
        <w:rPr>
          <w:rFonts w:ascii="Times" w:hAnsi="Times"/>
          <w:i/>
          <w:sz w:val="18"/>
          <w:szCs w:val="18"/>
        </w:rPr>
        <w:t>Tribunal Update</w:t>
      </w:r>
      <w:r w:rsidRPr="00840DEC">
        <w:rPr>
          <w:rFonts w:ascii="Times" w:hAnsi="Times"/>
          <w:sz w:val="18"/>
          <w:szCs w:val="18"/>
        </w:rPr>
        <w:t xml:space="preserve">, no. 407, 18 November 2005. </w:t>
      </w:r>
    </w:p>
  </w:footnote>
  <w:footnote w:id="70">
    <w:p w14:paraId="30152B85" w14:textId="5284E431" w:rsidR="00D435DA" w:rsidRPr="00840DEC" w:rsidRDefault="00D435DA" w:rsidP="00207C82">
      <w:pPr>
        <w:pStyle w:val="Footer"/>
        <w:rPr>
          <w:rStyle w:val="FootnoteTextChar3"/>
          <w:rFonts w:ascii="Times" w:hAnsi="Times"/>
          <w:sz w:val="18"/>
          <w:szCs w:val="18"/>
          <w:lang w:val="hr-HR"/>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lang w:val="hr-HR"/>
        </w:rPr>
        <w:t xml:space="preserve"> </w:t>
      </w:r>
      <w:r w:rsidRPr="00840DEC">
        <w:rPr>
          <w:rStyle w:val="FootnoteTextChar3"/>
          <w:rFonts w:ascii="Times" w:hAnsi="Times"/>
          <w:sz w:val="18"/>
          <w:szCs w:val="18"/>
          <w:lang w:val="hr-HR"/>
        </w:rPr>
        <w:t xml:space="preserve">M. Bulatović, </w:t>
      </w:r>
      <w:r w:rsidRPr="00840DEC">
        <w:rPr>
          <w:rStyle w:val="FootnoteTextChar3"/>
          <w:rFonts w:ascii="Times" w:hAnsi="Times"/>
          <w:i/>
          <w:sz w:val="18"/>
          <w:szCs w:val="18"/>
          <w:lang w:val="hr-HR"/>
        </w:rPr>
        <w:t xml:space="preserve">Neizgovorena </w:t>
      </w:r>
      <w:r w:rsidRPr="00840DEC">
        <w:rPr>
          <w:rFonts w:ascii="Times" w:hAnsi="Times"/>
          <w:i/>
          <w:sz w:val="18"/>
          <w:szCs w:val="18"/>
          <w:lang w:val="hr-HR"/>
        </w:rPr>
        <w:t>odbrana: ICTY vs. Slobodan Milošević (</w:t>
      </w:r>
      <w:r w:rsidRPr="00840DEC">
        <w:rPr>
          <w:rStyle w:val="FootnoteTextChar3"/>
          <w:rFonts w:ascii="Times" w:hAnsi="Times"/>
          <w:sz w:val="18"/>
          <w:szCs w:val="18"/>
          <w:lang w:val="hr-HR"/>
        </w:rPr>
        <w:t xml:space="preserve">2006). </w:t>
      </w:r>
    </w:p>
  </w:footnote>
  <w:footnote w:id="71">
    <w:p w14:paraId="37334EBB" w14:textId="4F3304F7" w:rsidR="00D435DA" w:rsidRPr="00840DEC" w:rsidRDefault="00D435DA" w:rsidP="00207C82">
      <w:pPr>
        <w:pStyle w:val="Footer"/>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rPr>
        <w:t xml:space="preserve"> E. </w:t>
      </w:r>
      <w:proofErr w:type="spellStart"/>
      <w:r w:rsidRPr="00840DEC">
        <w:rPr>
          <w:rStyle w:val="FootnoteTextChar3"/>
          <w:rFonts w:ascii="Times" w:hAnsi="Times"/>
          <w:sz w:val="18"/>
          <w:szCs w:val="18"/>
        </w:rPr>
        <w:t>Bećirević</w:t>
      </w:r>
      <w:proofErr w:type="spellEnd"/>
      <w:r w:rsidRPr="00840DEC">
        <w:rPr>
          <w:rStyle w:val="FootnoteTextChar3"/>
          <w:rFonts w:ascii="Times" w:hAnsi="Times"/>
          <w:sz w:val="18"/>
          <w:szCs w:val="18"/>
        </w:rPr>
        <w:t xml:space="preserve">, “New Light Shed on Belgrade Role in Bosnian War,” IWPR, </w:t>
      </w:r>
      <w:r w:rsidRPr="00840DEC">
        <w:rPr>
          <w:rStyle w:val="FootnoteTextChar3"/>
          <w:rFonts w:ascii="Times" w:hAnsi="Times"/>
          <w:i/>
          <w:sz w:val="18"/>
          <w:szCs w:val="18"/>
        </w:rPr>
        <w:t>Tribunal Update</w:t>
      </w:r>
      <w:r w:rsidRPr="00840DEC">
        <w:rPr>
          <w:rStyle w:val="FootnoteTextChar3"/>
          <w:rFonts w:ascii="Times" w:hAnsi="Times"/>
          <w:sz w:val="18"/>
          <w:szCs w:val="18"/>
        </w:rPr>
        <w:t>, no. 526, 27 November 2007.</w:t>
      </w:r>
    </w:p>
  </w:footnote>
  <w:footnote w:id="72">
    <w:p w14:paraId="4660255D" w14:textId="1ABE5583" w:rsidR="00D435DA" w:rsidRPr="00840DEC" w:rsidRDefault="00D435DA" w:rsidP="00207C82">
      <w:pPr>
        <w:pStyle w:val="Footer"/>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rPr>
        <w:t xml:space="preserve"> Decision on Prosecution Request for Change in Status of Certain Exhibits Admitted under Seal, </w:t>
      </w:r>
      <w:r w:rsidRPr="00840DEC">
        <w:rPr>
          <w:rStyle w:val="FootnoteTextChar3"/>
          <w:rFonts w:ascii="Times" w:hAnsi="Times"/>
          <w:i/>
          <w:sz w:val="18"/>
          <w:szCs w:val="18"/>
        </w:rPr>
        <w:t xml:space="preserve">Prosecutor v. </w:t>
      </w:r>
      <w:proofErr w:type="spellStart"/>
      <w:r w:rsidRPr="00840DEC">
        <w:rPr>
          <w:rStyle w:val="FootnoteTextChar3"/>
          <w:rFonts w:ascii="Times" w:hAnsi="Times"/>
          <w:i/>
          <w:sz w:val="18"/>
          <w:szCs w:val="18"/>
        </w:rPr>
        <w:t>Perišić</w:t>
      </w:r>
      <w:proofErr w:type="spellEnd"/>
      <w:r w:rsidRPr="00840DEC">
        <w:rPr>
          <w:rStyle w:val="FootnoteTextChar3"/>
          <w:rFonts w:ascii="Times" w:hAnsi="Times"/>
          <w:sz w:val="18"/>
          <w:szCs w:val="18"/>
        </w:rPr>
        <w:t xml:space="preserve">, ICTY Case No. 04-81-T, 23 June 2011. Parts of the collection have been made available online by the Sense News Agency at: http://www.sense-agency.com/home/icty.59.html. Protections were lifted from transcripts of selected sessions relevant to the </w:t>
      </w:r>
      <w:proofErr w:type="spellStart"/>
      <w:r w:rsidRPr="00840DEC">
        <w:rPr>
          <w:rStyle w:val="FootnoteTextChar3"/>
          <w:rFonts w:ascii="Times" w:hAnsi="Times"/>
          <w:sz w:val="18"/>
          <w:szCs w:val="18"/>
        </w:rPr>
        <w:t>Perišić</w:t>
      </w:r>
      <w:proofErr w:type="spellEnd"/>
      <w:r w:rsidRPr="00840DEC">
        <w:rPr>
          <w:rStyle w:val="FootnoteTextChar3"/>
          <w:rFonts w:ascii="Times" w:hAnsi="Times"/>
          <w:sz w:val="18"/>
          <w:szCs w:val="18"/>
        </w:rPr>
        <w:t xml:space="preserve"> case, namely the 5th, 6th, 9th 12th,14th-22nd, 25th, 27th, 28th, 30th, 31st, 35th, 37th, 38th, 41st, 44th, 56th, and 58th. Protections were also lifted from the minutes of the following sessions: 9th, 12th, 14th-16th, 18th, 21st-25th, 27th, 31st-33rd, 35th, 37th, 39th, 41st, 44th, 45th, 56th, and 58th.</w:t>
      </w:r>
    </w:p>
  </w:footnote>
  <w:footnote w:id="73">
    <w:p w14:paraId="71863AEC" w14:textId="38F055A0" w:rsidR="00D435DA" w:rsidRPr="00840DEC" w:rsidRDefault="00D435DA" w:rsidP="00207C82">
      <w:pPr>
        <w:pStyle w:val="Footer"/>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rPr>
        <w:t xml:space="preserve"> For example, see “ICTY Lifts Seal from Supreme Defence Council Document in </w:t>
      </w:r>
      <w:proofErr w:type="spellStart"/>
      <w:r w:rsidRPr="00840DEC">
        <w:rPr>
          <w:rStyle w:val="FootnoteTextChar3"/>
          <w:rFonts w:ascii="Times" w:hAnsi="Times"/>
          <w:sz w:val="18"/>
          <w:szCs w:val="18"/>
        </w:rPr>
        <w:t>Momčilo</w:t>
      </w:r>
      <w:proofErr w:type="spellEnd"/>
      <w:r w:rsidRPr="00840DEC">
        <w:rPr>
          <w:rStyle w:val="FootnoteTextChar3"/>
          <w:rFonts w:ascii="Times" w:hAnsi="Times"/>
          <w:sz w:val="18"/>
          <w:szCs w:val="18"/>
        </w:rPr>
        <w:t xml:space="preserve"> </w:t>
      </w:r>
      <w:proofErr w:type="spellStart"/>
      <w:r w:rsidRPr="00840DEC">
        <w:rPr>
          <w:rStyle w:val="FootnoteTextChar3"/>
          <w:rFonts w:ascii="Times" w:hAnsi="Times"/>
          <w:sz w:val="18"/>
          <w:szCs w:val="18"/>
        </w:rPr>
        <w:t>Perišić</w:t>
      </w:r>
      <w:proofErr w:type="spellEnd"/>
      <w:r w:rsidRPr="00840DEC">
        <w:rPr>
          <w:rStyle w:val="FootnoteTextChar3"/>
          <w:rFonts w:ascii="Times" w:hAnsi="Times"/>
          <w:sz w:val="18"/>
          <w:szCs w:val="18"/>
        </w:rPr>
        <w:t xml:space="preserve"> Case,” </w:t>
      </w:r>
      <w:r w:rsidRPr="00840DEC">
        <w:rPr>
          <w:rStyle w:val="FootnoteTextChar3"/>
          <w:rFonts w:ascii="Times" w:hAnsi="Times"/>
          <w:i/>
          <w:sz w:val="18"/>
          <w:szCs w:val="18"/>
        </w:rPr>
        <w:t>Sense Tribunal</w:t>
      </w:r>
      <w:r w:rsidRPr="00840DEC">
        <w:rPr>
          <w:rStyle w:val="FootnoteTextChar3"/>
          <w:rFonts w:ascii="Times" w:hAnsi="Times"/>
          <w:sz w:val="18"/>
          <w:szCs w:val="18"/>
        </w:rPr>
        <w:t>, 25 March 2011.</w:t>
      </w:r>
    </w:p>
  </w:footnote>
  <w:footnote w:id="74">
    <w:p w14:paraId="78AC40EF" w14:textId="77777777" w:rsidR="00D435DA" w:rsidRPr="00840DEC" w:rsidRDefault="00D435DA" w:rsidP="00207C82">
      <w:pPr>
        <w:pStyle w:val="FootnoteText"/>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See for the political context of the failure to file for a revision at the ICJ before the deadline of 26 February 2007: </w:t>
      </w:r>
    </w:p>
    <w:p w14:paraId="27FA5C37" w14:textId="7B6D6A77" w:rsidR="00D435DA" w:rsidRPr="00840DEC" w:rsidRDefault="00E064BF" w:rsidP="00207C82">
      <w:pPr>
        <w:pStyle w:val="FootnoteText"/>
        <w:rPr>
          <w:rFonts w:ascii="Times" w:hAnsi="Times"/>
          <w:sz w:val="18"/>
          <w:szCs w:val="18"/>
          <w:lang w:val="hr-HR"/>
        </w:rPr>
      </w:pPr>
      <w:hyperlink r:id="rId10" w:history="1">
        <w:r w:rsidR="00D435DA" w:rsidRPr="00840DEC">
          <w:rPr>
            <w:rStyle w:val="Hyperlink"/>
            <w:rFonts w:ascii="Times" w:hAnsi="Times"/>
            <w:sz w:val="18"/>
            <w:szCs w:val="18"/>
          </w:rPr>
          <w:t>https://www.slobodnaevropa.org/a/revizija-bih--politicka-kriza-/28327543.html</w:t>
        </w:r>
      </w:hyperlink>
      <w:r w:rsidR="00D435DA" w:rsidRPr="00840DEC">
        <w:rPr>
          <w:rFonts w:ascii="Times" w:hAnsi="Times"/>
          <w:sz w:val="18"/>
          <w:szCs w:val="18"/>
        </w:rPr>
        <w:t xml:space="preserve">; </w:t>
      </w:r>
      <w:hyperlink r:id="rId11" w:history="1">
        <w:r w:rsidR="00D435DA" w:rsidRPr="00840DEC">
          <w:rPr>
            <w:rStyle w:val="Hyperlink"/>
            <w:rFonts w:ascii="Times" w:hAnsi="Times"/>
            <w:sz w:val="18"/>
            <w:szCs w:val="18"/>
          </w:rPr>
          <w:t>https://www.slobodnaevropa.org/a/hodzic-revizija-posljedice/28328830.html</w:t>
        </w:r>
      </w:hyperlink>
      <w:r w:rsidR="00D435DA" w:rsidRPr="00840DEC">
        <w:rPr>
          <w:rFonts w:ascii="Times" w:hAnsi="Times"/>
          <w:sz w:val="18"/>
          <w:szCs w:val="18"/>
        </w:rPr>
        <w:t xml:space="preserve">  </w:t>
      </w:r>
    </w:p>
  </w:footnote>
  <w:footnote w:id="75">
    <w:p w14:paraId="425217CC" w14:textId="15094F76" w:rsidR="00D435DA" w:rsidRPr="00840DEC" w:rsidRDefault="00D435DA" w:rsidP="00207C82">
      <w:pPr>
        <w:widowControl w:val="0"/>
        <w:autoSpaceDE w:val="0"/>
        <w:autoSpaceDN w:val="0"/>
        <w:adjustRightInd w:val="0"/>
        <w:rPr>
          <w:rFonts w:ascii="Times" w:hAnsi="Times" w:cs="Times New Roman"/>
          <w:sz w:val="18"/>
          <w:szCs w:val="18"/>
        </w:rPr>
      </w:pPr>
      <w:r w:rsidRPr="00840DEC">
        <w:rPr>
          <w:rStyle w:val="FootnoteReference"/>
          <w:rFonts w:ascii="Times" w:hAnsi="Times"/>
          <w:sz w:val="18"/>
          <w:szCs w:val="18"/>
        </w:rPr>
        <w:footnoteRef/>
      </w:r>
      <w:r w:rsidRPr="00840DEC">
        <w:rPr>
          <w:rFonts w:ascii="Times" w:hAnsi="Times" w:cs="Times New Roman"/>
          <w:sz w:val="18"/>
          <w:szCs w:val="18"/>
        </w:rPr>
        <w:t xml:space="preserve"> </w:t>
      </w:r>
      <w:r w:rsidRPr="00840DEC">
        <w:rPr>
          <w:rFonts w:ascii="Times" w:hAnsi="Times" w:cs="Times New Roman"/>
          <w:sz w:val="18"/>
          <w:szCs w:val="18"/>
          <w:lang w:val="nl-NL"/>
        </w:rPr>
        <w:t>Tromp, note 6 above, p. 23. Quote: “</w:t>
      </w:r>
      <w:proofErr w:type="spellStart"/>
      <w:r w:rsidRPr="00840DEC">
        <w:rPr>
          <w:rFonts w:ascii="Times" w:hAnsi="Times" w:cs="Times New Roman"/>
          <w:sz w:val="18"/>
          <w:szCs w:val="18"/>
        </w:rPr>
        <w:t>Extratrial</w:t>
      </w:r>
      <w:proofErr w:type="spellEnd"/>
      <w:r w:rsidRPr="00840DEC">
        <w:rPr>
          <w:rFonts w:ascii="Times" w:hAnsi="Times" w:cs="Times New Roman"/>
          <w:sz w:val="18"/>
          <w:szCs w:val="18"/>
        </w:rPr>
        <w:t xml:space="preserve"> material originating from the ICTY and OTP includes investigative and analytical documentation, such as reports by in- house investigators, researchers, and analysts, which were not used per se in court </w:t>
      </w:r>
      <w:proofErr w:type="spellStart"/>
      <w:r w:rsidRPr="00840DEC">
        <w:rPr>
          <w:rFonts w:ascii="Times" w:hAnsi="Times" w:cs="Times New Roman"/>
          <w:sz w:val="18"/>
          <w:szCs w:val="18"/>
        </w:rPr>
        <w:t>proceedings.Internal</w:t>
      </w:r>
      <w:proofErr w:type="spellEnd"/>
      <w:r w:rsidRPr="00840DEC">
        <w:rPr>
          <w:rFonts w:ascii="Times" w:hAnsi="Times" w:cs="Times New Roman"/>
          <w:sz w:val="18"/>
          <w:szCs w:val="18"/>
        </w:rPr>
        <w:t xml:space="preserve"> policy documents on topics such as indictment strategies or how </w:t>
      </w:r>
      <w:proofErr w:type="spellStart"/>
      <w:r w:rsidRPr="00840DEC">
        <w:rPr>
          <w:rFonts w:ascii="Times" w:hAnsi="Times" w:cs="Times New Roman"/>
          <w:sz w:val="18"/>
          <w:szCs w:val="18"/>
        </w:rPr>
        <w:t>toconduct</w:t>
      </w:r>
      <w:proofErr w:type="spellEnd"/>
      <w:r w:rsidRPr="00840DEC">
        <w:rPr>
          <w:rFonts w:ascii="Times" w:hAnsi="Times" w:cs="Times New Roman"/>
          <w:sz w:val="18"/>
          <w:szCs w:val="18"/>
        </w:rPr>
        <w:t xml:space="preserve"> the trial also fall under the designation of </w:t>
      </w:r>
      <w:proofErr w:type="spellStart"/>
      <w:r w:rsidRPr="00840DEC">
        <w:rPr>
          <w:rFonts w:ascii="Times" w:hAnsi="Times" w:cs="Times New Roman"/>
          <w:sz w:val="18"/>
          <w:szCs w:val="18"/>
        </w:rPr>
        <w:t>extratrial</w:t>
      </w:r>
      <w:proofErr w:type="spellEnd"/>
      <w:r w:rsidRPr="00840DEC">
        <w:rPr>
          <w:rFonts w:ascii="Times" w:hAnsi="Times" w:cs="Times New Roman"/>
          <w:sz w:val="18"/>
          <w:szCs w:val="18"/>
        </w:rPr>
        <w:t xml:space="preserve"> material. In other words, a considerable amount of this material was used for investigative and research purposes without becoming a part of the official trial record”.</w:t>
      </w:r>
    </w:p>
  </w:footnote>
  <w:footnote w:id="76">
    <w:p w14:paraId="6F7ED15B" w14:textId="15A03F01" w:rsidR="00D435DA" w:rsidRPr="00840DEC" w:rsidRDefault="00D435DA" w:rsidP="00207C82">
      <w:pPr>
        <w:pStyle w:val="Footer"/>
        <w:rPr>
          <w:rFonts w:ascii="Times" w:hAnsi="Times"/>
          <w:sz w:val="18"/>
          <w:szCs w:val="18"/>
        </w:rPr>
      </w:pPr>
      <w:r w:rsidRPr="00840DEC">
        <w:rPr>
          <w:rStyle w:val="FootnoteReference"/>
          <w:rFonts w:ascii="Times" w:hAnsi="Times"/>
          <w:sz w:val="18"/>
          <w:szCs w:val="18"/>
        </w:rPr>
        <w:footnoteRef/>
      </w:r>
      <w:r w:rsidRPr="00840DEC">
        <w:rPr>
          <w:rFonts w:ascii="Times" w:hAnsi="Times"/>
          <w:sz w:val="18"/>
          <w:szCs w:val="18"/>
        </w:rPr>
        <w:t xml:space="preserve"> </w:t>
      </w:r>
      <w:proofErr w:type="spellStart"/>
      <w:r w:rsidRPr="00840DEC">
        <w:rPr>
          <w:rFonts w:ascii="Times" w:hAnsi="Times"/>
          <w:sz w:val="18"/>
          <w:szCs w:val="18"/>
        </w:rPr>
        <w:t>Marrus</w:t>
      </w:r>
      <w:proofErr w:type="spellEnd"/>
      <w:r w:rsidRPr="00840DEC">
        <w:rPr>
          <w:rFonts w:ascii="Times" w:hAnsi="Times"/>
          <w:sz w:val="18"/>
          <w:szCs w:val="18"/>
        </w:rPr>
        <w:t>, note 6 above, p. 228.</w:t>
      </w:r>
    </w:p>
  </w:footnote>
  <w:footnote w:id="77">
    <w:p w14:paraId="6B90BC94" w14:textId="01B2035D" w:rsidR="00D435DA" w:rsidRPr="00840DEC" w:rsidRDefault="00D435DA" w:rsidP="00207C82">
      <w:pPr>
        <w:pStyle w:val="FootnoteText"/>
        <w:rPr>
          <w:rFonts w:ascii="Times" w:hAnsi="Times"/>
          <w:sz w:val="18"/>
          <w:szCs w:val="18"/>
          <w:lang w:val="en-US"/>
        </w:rPr>
      </w:pPr>
      <w:r w:rsidRPr="00840DEC">
        <w:rPr>
          <w:rStyle w:val="FootnoteReference"/>
          <w:rFonts w:ascii="Times" w:hAnsi="Times"/>
          <w:sz w:val="18"/>
          <w:szCs w:val="18"/>
        </w:rPr>
        <w:footnoteRef/>
      </w:r>
      <w:r w:rsidRPr="00840DEC">
        <w:rPr>
          <w:rFonts w:ascii="Times" w:hAnsi="Times"/>
          <w:sz w:val="18"/>
          <w:szCs w:val="18"/>
        </w:rPr>
        <w:t xml:space="preserve"> The terms “</w:t>
      </w:r>
      <w:proofErr w:type="spellStart"/>
      <w:r w:rsidRPr="00840DEC">
        <w:rPr>
          <w:rFonts w:ascii="Times" w:hAnsi="Times"/>
          <w:sz w:val="18"/>
          <w:szCs w:val="18"/>
        </w:rPr>
        <w:t>intentionalists</w:t>
      </w:r>
      <w:proofErr w:type="spellEnd"/>
      <w:r w:rsidRPr="00840DEC">
        <w:rPr>
          <w:rFonts w:ascii="Times" w:hAnsi="Times"/>
          <w:sz w:val="18"/>
          <w:szCs w:val="18"/>
        </w:rPr>
        <w:t>” and “functionalists” were coined by Timothy Mason in his 1981 essay “</w:t>
      </w:r>
      <w:r w:rsidRPr="00840DEC">
        <w:rPr>
          <w:rFonts w:ascii="Times" w:eastAsiaTheme="minorEastAsia" w:hAnsi="Times"/>
          <w:sz w:val="18"/>
          <w:szCs w:val="18"/>
          <w:lang w:val="en-US"/>
        </w:rPr>
        <w:t xml:space="preserve">Intention and Explanation: A Current Controversy about the Interpretation of National Socialism”, in </w:t>
      </w:r>
      <w:r w:rsidRPr="00840DEC">
        <w:rPr>
          <w:rFonts w:ascii="Times" w:eastAsiaTheme="minorHAnsi" w:hAnsi="Times"/>
          <w:sz w:val="18"/>
          <w:szCs w:val="18"/>
          <w:lang w:val="en-US"/>
        </w:rPr>
        <w:t xml:space="preserve">G. </w:t>
      </w:r>
      <w:proofErr w:type="spellStart"/>
      <w:r w:rsidRPr="00840DEC">
        <w:rPr>
          <w:rFonts w:ascii="Times" w:eastAsiaTheme="minorHAnsi" w:hAnsi="Times"/>
          <w:sz w:val="18"/>
          <w:szCs w:val="18"/>
          <w:lang w:val="en-US"/>
        </w:rPr>
        <w:t>Hirschfeld</w:t>
      </w:r>
      <w:proofErr w:type="spellEnd"/>
      <w:r w:rsidRPr="00840DEC">
        <w:rPr>
          <w:rFonts w:ascii="Times" w:eastAsiaTheme="minorHAnsi" w:hAnsi="Times"/>
          <w:sz w:val="18"/>
          <w:szCs w:val="18"/>
          <w:lang w:val="en-US"/>
        </w:rPr>
        <w:t xml:space="preserve"> and L. </w:t>
      </w:r>
      <w:proofErr w:type="spellStart"/>
      <w:r w:rsidRPr="00840DEC">
        <w:rPr>
          <w:rFonts w:ascii="Times" w:eastAsiaTheme="minorHAnsi" w:hAnsi="Times"/>
          <w:sz w:val="18"/>
          <w:szCs w:val="18"/>
          <w:lang w:val="en-US"/>
        </w:rPr>
        <w:t>Kettenacker</w:t>
      </w:r>
      <w:proofErr w:type="spellEnd"/>
      <w:r w:rsidRPr="00840DEC">
        <w:rPr>
          <w:rFonts w:ascii="Times" w:eastAsiaTheme="minorHAnsi" w:hAnsi="Times"/>
          <w:sz w:val="18"/>
          <w:szCs w:val="18"/>
          <w:lang w:val="en-US"/>
        </w:rPr>
        <w:t xml:space="preserve"> (eds.), </w:t>
      </w:r>
      <w:r w:rsidRPr="00840DEC">
        <w:rPr>
          <w:rFonts w:ascii="Times" w:eastAsiaTheme="minorEastAsia" w:hAnsi="Times"/>
          <w:i/>
          <w:sz w:val="18"/>
          <w:szCs w:val="18"/>
          <w:lang w:val="en-US"/>
        </w:rPr>
        <w:t xml:space="preserve">The “Fuehrer State”: Myth and Reality – Studies on Structure and Politics of the Third Reich </w:t>
      </w:r>
      <w:r w:rsidRPr="00840DEC">
        <w:rPr>
          <w:rFonts w:ascii="Times" w:eastAsiaTheme="minorEastAsia" w:hAnsi="Times"/>
          <w:sz w:val="18"/>
          <w:szCs w:val="18"/>
          <w:lang w:val="en-US"/>
        </w:rPr>
        <w:t>(1981).</w:t>
      </w:r>
      <w:r w:rsidRPr="00840DEC">
        <w:rPr>
          <w:rFonts w:ascii="Times" w:eastAsiaTheme="minorEastAsia" w:hAnsi="Times"/>
          <w:i/>
          <w:sz w:val="18"/>
          <w:szCs w:val="18"/>
          <w:lang w:val="en-US"/>
        </w:rPr>
        <w:t xml:space="preserve"> </w:t>
      </w:r>
      <w:r w:rsidRPr="00840DEC">
        <w:rPr>
          <w:rFonts w:ascii="Times" w:eastAsiaTheme="minorEastAsia" w:hAnsi="Times"/>
          <w:sz w:val="18"/>
          <w:szCs w:val="18"/>
          <w:lang w:val="en-US"/>
        </w:rPr>
        <w:t xml:space="preserve">Mason criticized authors who focused too much on Hitler in explaining the Holocaust, calling them </w:t>
      </w:r>
      <w:proofErr w:type="spellStart"/>
      <w:r w:rsidRPr="00840DEC">
        <w:rPr>
          <w:rFonts w:ascii="Times" w:eastAsiaTheme="minorEastAsia" w:hAnsi="Times"/>
          <w:sz w:val="18"/>
          <w:szCs w:val="18"/>
          <w:lang w:val="en-US"/>
        </w:rPr>
        <w:t>intentionalist</w:t>
      </w:r>
      <w:proofErr w:type="spellEnd"/>
      <w:r w:rsidRPr="00840DEC">
        <w:rPr>
          <w:rFonts w:ascii="Times" w:eastAsiaTheme="minorEastAsia" w:hAnsi="Times"/>
          <w:sz w:val="18"/>
          <w:szCs w:val="18"/>
          <w:lang w:val="en-US"/>
        </w:rPr>
        <w:t>. He called the opposing school functionalists because they saw the Holocaust as consequence of the way the Nazi State functioned. Mason himself proposed, as an alternative, an investigation into a broader perspective of the period with a distinct focus on the economy.</w:t>
      </w:r>
    </w:p>
  </w:footnote>
  <w:footnote w:id="78">
    <w:p w14:paraId="2A9F672A" w14:textId="3B10BAD8" w:rsidR="00D435DA" w:rsidRPr="00840DEC" w:rsidRDefault="00D435DA" w:rsidP="00207C82">
      <w:pPr>
        <w:pStyle w:val="Footer"/>
        <w:rPr>
          <w:rStyle w:val="FootnoteTextChar3"/>
          <w:rFonts w:ascii="Times" w:hAnsi="Times"/>
          <w:sz w:val="18"/>
          <w:szCs w:val="18"/>
        </w:rPr>
      </w:pPr>
      <w:r w:rsidRPr="00840DEC">
        <w:rPr>
          <w:rStyle w:val="FootnoteTextChar3"/>
          <w:rFonts w:ascii="Times" w:hAnsi="Times"/>
          <w:sz w:val="18"/>
          <w:szCs w:val="18"/>
          <w:vertAlign w:val="superscript"/>
        </w:rPr>
        <w:footnoteRef/>
      </w:r>
      <w:r w:rsidRPr="00840DEC">
        <w:rPr>
          <w:rStyle w:val="FootnoteTextChar3"/>
          <w:rFonts w:ascii="Times" w:hAnsi="Times"/>
          <w:sz w:val="18"/>
          <w:szCs w:val="18"/>
          <w:vertAlign w:val="superscript"/>
        </w:rPr>
        <w:t xml:space="preserve"> </w:t>
      </w:r>
      <w:r w:rsidRPr="00840DEC">
        <w:rPr>
          <w:rStyle w:val="FootnoteTextChar3"/>
          <w:rFonts w:ascii="Times" w:hAnsi="Times"/>
          <w:sz w:val="18"/>
          <w:szCs w:val="18"/>
        </w:rPr>
        <w:t xml:space="preserve">See R. </w:t>
      </w:r>
      <w:proofErr w:type="spellStart"/>
      <w:r w:rsidRPr="00840DEC">
        <w:rPr>
          <w:rStyle w:val="FootnoteTextChar3"/>
          <w:rFonts w:ascii="Times" w:hAnsi="Times"/>
          <w:sz w:val="18"/>
          <w:szCs w:val="18"/>
        </w:rPr>
        <w:t>Teitel</w:t>
      </w:r>
      <w:proofErr w:type="spellEnd"/>
      <w:r w:rsidRPr="00840DEC">
        <w:rPr>
          <w:rStyle w:val="FootnoteTextChar3"/>
          <w:rFonts w:ascii="Times" w:hAnsi="Times"/>
          <w:sz w:val="18"/>
          <w:szCs w:val="18"/>
        </w:rPr>
        <w:t xml:space="preserve">, </w:t>
      </w:r>
      <w:r w:rsidRPr="00840DEC">
        <w:rPr>
          <w:rStyle w:val="FootnoteTextChar3"/>
          <w:rFonts w:ascii="Times" w:hAnsi="Times"/>
          <w:i/>
          <w:sz w:val="18"/>
          <w:szCs w:val="18"/>
        </w:rPr>
        <w:t>Transitional Justice</w:t>
      </w:r>
      <w:r w:rsidRPr="00840DEC">
        <w:rPr>
          <w:rStyle w:val="FootnoteTextChar3"/>
          <w:rFonts w:ascii="Times" w:hAnsi="Times"/>
          <w:sz w:val="18"/>
          <w:szCs w:val="18"/>
        </w:rPr>
        <w:t xml:space="preserve"> (2000), 74; M. </w:t>
      </w:r>
      <w:proofErr w:type="spellStart"/>
      <w:r w:rsidRPr="00840DEC">
        <w:rPr>
          <w:rStyle w:val="FootnoteTextChar3"/>
          <w:rFonts w:ascii="Times" w:hAnsi="Times"/>
          <w:sz w:val="18"/>
          <w:szCs w:val="18"/>
        </w:rPr>
        <w:t>Osiel</w:t>
      </w:r>
      <w:proofErr w:type="spellEnd"/>
      <w:r w:rsidRPr="00840DEC">
        <w:rPr>
          <w:rStyle w:val="FootnoteTextChar3"/>
          <w:rFonts w:ascii="Times" w:hAnsi="Times"/>
          <w:sz w:val="18"/>
          <w:szCs w:val="18"/>
        </w:rPr>
        <w:t xml:space="preserve">, </w:t>
      </w:r>
      <w:r w:rsidRPr="00840DEC">
        <w:rPr>
          <w:rStyle w:val="FootnoteTextChar3"/>
          <w:rFonts w:ascii="Times" w:hAnsi="Times"/>
          <w:i/>
          <w:sz w:val="18"/>
          <w:szCs w:val="18"/>
        </w:rPr>
        <w:t>Mass Atrocities, Collective Memory and the Law</w:t>
      </w:r>
      <w:r w:rsidRPr="00840DEC">
        <w:rPr>
          <w:rStyle w:val="FootnoteTextChar3"/>
          <w:rFonts w:ascii="Times" w:hAnsi="Times"/>
          <w:sz w:val="18"/>
          <w:szCs w:val="18"/>
        </w:rPr>
        <w:t xml:space="preserve"> (1997), p. 100; and D. </w:t>
      </w:r>
      <w:proofErr w:type="spellStart"/>
      <w:r w:rsidRPr="00840DEC">
        <w:rPr>
          <w:rStyle w:val="FootnoteTextChar3"/>
          <w:rFonts w:ascii="Times" w:hAnsi="Times"/>
          <w:sz w:val="18"/>
          <w:szCs w:val="18"/>
        </w:rPr>
        <w:t>Goldhagen</w:t>
      </w:r>
      <w:proofErr w:type="spellEnd"/>
      <w:r w:rsidRPr="00840DEC">
        <w:rPr>
          <w:rStyle w:val="FootnoteTextChar3"/>
          <w:rFonts w:ascii="Times" w:hAnsi="Times"/>
          <w:sz w:val="18"/>
          <w:szCs w:val="18"/>
        </w:rPr>
        <w:t xml:space="preserve">, </w:t>
      </w:r>
      <w:r w:rsidRPr="00840DEC">
        <w:rPr>
          <w:rStyle w:val="FootnoteTextChar3"/>
          <w:rFonts w:ascii="Times" w:hAnsi="Times"/>
          <w:i/>
          <w:sz w:val="18"/>
          <w:szCs w:val="18"/>
        </w:rPr>
        <w:t>Hitler's Willing Executioners: Ordinary Germans and the Holocaust</w:t>
      </w:r>
      <w:r w:rsidRPr="00840DEC">
        <w:rPr>
          <w:rStyle w:val="FootnoteTextChar3"/>
          <w:rFonts w:ascii="Times" w:hAnsi="Times"/>
          <w:sz w:val="18"/>
          <w:szCs w:val="18"/>
        </w:rPr>
        <w:t xml:space="preserve"> (1996).</w:t>
      </w:r>
    </w:p>
  </w:footnote>
  <w:footnote w:id="79">
    <w:p w14:paraId="4045713A" w14:textId="7B9C7F97" w:rsidR="00D435DA" w:rsidRPr="00840DEC" w:rsidRDefault="00D435DA" w:rsidP="00207C82">
      <w:pPr>
        <w:pStyle w:val="NT-Footnote"/>
        <w:rPr>
          <w:rFonts w:ascii="Times" w:hAnsi="Times" w:cs="Times New Roman"/>
          <w:sz w:val="18"/>
          <w:szCs w:val="18"/>
          <w:lang w:val="en-US"/>
        </w:rPr>
      </w:pPr>
      <w:r w:rsidRPr="00840DEC">
        <w:rPr>
          <w:rStyle w:val="FootnoteReference"/>
          <w:rFonts w:ascii="Times" w:hAnsi="Times"/>
          <w:sz w:val="18"/>
          <w:szCs w:val="18"/>
        </w:rPr>
        <w:footnoteRef/>
      </w:r>
      <w:r w:rsidRPr="00840DEC">
        <w:rPr>
          <w:rStyle w:val="FootnoteReference"/>
          <w:rFonts w:ascii="Times" w:hAnsi="Times"/>
          <w:sz w:val="18"/>
          <w:szCs w:val="18"/>
          <w:vertAlign w:val="baseline"/>
        </w:rPr>
        <w:t xml:space="preserve"> For discussion on this topic in English, see L. J. Cohen, </w:t>
      </w:r>
      <w:r w:rsidRPr="00840DEC">
        <w:rPr>
          <w:rStyle w:val="FootnoteReference"/>
          <w:rFonts w:ascii="Times" w:hAnsi="Times"/>
          <w:i/>
          <w:sz w:val="18"/>
          <w:szCs w:val="18"/>
          <w:vertAlign w:val="baseline"/>
        </w:rPr>
        <w:t xml:space="preserve">Serpent in the Bosom: The Rise and Fall of Slobodan </w:t>
      </w:r>
      <w:proofErr w:type="spellStart"/>
      <w:r w:rsidRPr="00840DEC">
        <w:rPr>
          <w:rStyle w:val="FootnoteReference"/>
          <w:rFonts w:ascii="Times" w:hAnsi="Times"/>
          <w:i/>
          <w:sz w:val="18"/>
          <w:szCs w:val="18"/>
          <w:vertAlign w:val="baseline"/>
        </w:rPr>
        <w:t>Milošević</w:t>
      </w:r>
      <w:proofErr w:type="spellEnd"/>
      <w:r w:rsidRPr="00840DEC">
        <w:rPr>
          <w:rStyle w:val="FootnoteReference"/>
          <w:rFonts w:ascii="Times" w:hAnsi="Times"/>
          <w:sz w:val="18"/>
          <w:szCs w:val="18"/>
          <w:vertAlign w:val="baseline"/>
        </w:rPr>
        <w:t xml:space="preserve"> (2002); S. </w:t>
      </w:r>
      <w:proofErr w:type="spellStart"/>
      <w:r w:rsidRPr="00840DEC">
        <w:rPr>
          <w:rStyle w:val="FootnoteReference"/>
          <w:rFonts w:ascii="Times" w:hAnsi="Times"/>
          <w:sz w:val="18"/>
          <w:szCs w:val="18"/>
          <w:vertAlign w:val="baseline"/>
        </w:rPr>
        <w:t>Đukić</w:t>
      </w:r>
      <w:proofErr w:type="spellEnd"/>
      <w:r w:rsidRPr="00840DEC">
        <w:rPr>
          <w:rStyle w:val="FootnoteReference"/>
          <w:rFonts w:ascii="Times" w:hAnsi="Times"/>
          <w:sz w:val="18"/>
          <w:szCs w:val="18"/>
          <w:vertAlign w:val="baseline"/>
        </w:rPr>
        <w:t xml:space="preserve">, </w:t>
      </w:r>
      <w:proofErr w:type="spellStart"/>
      <w:r w:rsidRPr="00840DEC">
        <w:rPr>
          <w:rStyle w:val="FootnoteReference"/>
          <w:rFonts w:ascii="Times" w:hAnsi="Times"/>
          <w:i/>
          <w:sz w:val="18"/>
          <w:szCs w:val="18"/>
          <w:vertAlign w:val="baseline"/>
        </w:rPr>
        <w:t>Milošević</w:t>
      </w:r>
      <w:proofErr w:type="spellEnd"/>
      <w:r w:rsidRPr="00840DEC">
        <w:rPr>
          <w:rStyle w:val="FootnoteReference"/>
          <w:rFonts w:ascii="Times" w:hAnsi="Times"/>
          <w:i/>
          <w:sz w:val="18"/>
          <w:szCs w:val="18"/>
          <w:vertAlign w:val="baseline"/>
        </w:rPr>
        <w:t xml:space="preserve"> and </w:t>
      </w:r>
      <w:proofErr w:type="spellStart"/>
      <w:r w:rsidRPr="00840DEC">
        <w:rPr>
          <w:rStyle w:val="FootnoteReference"/>
          <w:rFonts w:ascii="Times" w:hAnsi="Times"/>
          <w:i/>
          <w:sz w:val="18"/>
          <w:szCs w:val="18"/>
          <w:vertAlign w:val="baseline"/>
        </w:rPr>
        <w:t>Marković</w:t>
      </w:r>
      <w:proofErr w:type="spellEnd"/>
      <w:r w:rsidRPr="00840DEC">
        <w:rPr>
          <w:rStyle w:val="FootnoteReference"/>
          <w:rFonts w:ascii="Times" w:hAnsi="Times"/>
          <w:i/>
          <w:sz w:val="18"/>
          <w:szCs w:val="18"/>
          <w:vertAlign w:val="baseline"/>
        </w:rPr>
        <w:t xml:space="preserve">: A Lust for Power </w:t>
      </w:r>
      <w:r w:rsidRPr="00840DEC">
        <w:rPr>
          <w:rStyle w:val="FootnoteReference"/>
          <w:rFonts w:ascii="Times" w:hAnsi="Times"/>
          <w:sz w:val="18"/>
          <w:szCs w:val="18"/>
          <w:vertAlign w:val="baseline"/>
        </w:rPr>
        <w:t xml:space="preserve">(2001); D. </w:t>
      </w:r>
      <w:proofErr w:type="spellStart"/>
      <w:r w:rsidRPr="00840DEC">
        <w:rPr>
          <w:rStyle w:val="FootnoteReference"/>
          <w:rFonts w:ascii="Times" w:hAnsi="Times"/>
          <w:sz w:val="18"/>
          <w:szCs w:val="18"/>
          <w:vertAlign w:val="baseline"/>
        </w:rPr>
        <w:t>Doder</w:t>
      </w:r>
      <w:proofErr w:type="spellEnd"/>
      <w:r w:rsidRPr="00840DEC">
        <w:rPr>
          <w:rStyle w:val="FootnoteReference"/>
          <w:rFonts w:ascii="Times" w:hAnsi="Times"/>
          <w:sz w:val="18"/>
          <w:szCs w:val="18"/>
          <w:vertAlign w:val="baseline"/>
        </w:rPr>
        <w:t xml:space="preserve"> and L. Branson, </w:t>
      </w:r>
      <w:proofErr w:type="spellStart"/>
      <w:r w:rsidRPr="00840DEC">
        <w:rPr>
          <w:rStyle w:val="FootnoteReference"/>
          <w:rFonts w:ascii="Times" w:hAnsi="Times"/>
          <w:i/>
          <w:sz w:val="18"/>
          <w:szCs w:val="18"/>
          <w:vertAlign w:val="baseline"/>
        </w:rPr>
        <w:t>Milošević</w:t>
      </w:r>
      <w:proofErr w:type="spellEnd"/>
      <w:r w:rsidRPr="00840DEC">
        <w:rPr>
          <w:rStyle w:val="FootnoteReference"/>
          <w:rFonts w:ascii="Times" w:hAnsi="Times"/>
          <w:i/>
          <w:sz w:val="18"/>
          <w:szCs w:val="18"/>
          <w:vertAlign w:val="baseline"/>
        </w:rPr>
        <w:t>: Portrait of a Tyrant</w:t>
      </w:r>
      <w:r w:rsidRPr="00840DEC">
        <w:rPr>
          <w:rStyle w:val="FootnoteReference"/>
          <w:rFonts w:ascii="Times" w:hAnsi="Times"/>
          <w:sz w:val="18"/>
          <w:szCs w:val="18"/>
          <w:vertAlign w:val="baseline"/>
        </w:rPr>
        <w:t xml:space="preserve"> (1999); A. </w:t>
      </w:r>
      <w:proofErr w:type="spellStart"/>
      <w:r w:rsidRPr="00840DEC">
        <w:rPr>
          <w:rStyle w:val="FootnoteReference"/>
          <w:rFonts w:ascii="Times" w:hAnsi="Times"/>
          <w:sz w:val="18"/>
          <w:szCs w:val="18"/>
          <w:vertAlign w:val="baseline"/>
        </w:rPr>
        <w:t>LeBor</w:t>
      </w:r>
      <w:proofErr w:type="spellEnd"/>
      <w:r w:rsidRPr="00840DEC">
        <w:rPr>
          <w:rStyle w:val="FootnoteReference"/>
          <w:rFonts w:ascii="Times" w:hAnsi="Times"/>
          <w:sz w:val="18"/>
          <w:szCs w:val="18"/>
          <w:vertAlign w:val="baseline"/>
        </w:rPr>
        <w:t xml:space="preserve">, </w:t>
      </w:r>
      <w:proofErr w:type="spellStart"/>
      <w:r w:rsidRPr="00840DEC">
        <w:rPr>
          <w:rStyle w:val="FootnoteReference"/>
          <w:rFonts w:ascii="Times" w:hAnsi="Times"/>
          <w:i/>
          <w:sz w:val="18"/>
          <w:szCs w:val="18"/>
          <w:vertAlign w:val="baseline"/>
        </w:rPr>
        <w:t>Milošević</w:t>
      </w:r>
      <w:proofErr w:type="spellEnd"/>
      <w:r w:rsidRPr="00840DEC">
        <w:rPr>
          <w:rStyle w:val="FootnoteReference"/>
          <w:rFonts w:ascii="Times" w:hAnsi="Times"/>
          <w:i/>
          <w:sz w:val="18"/>
          <w:szCs w:val="18"/>
          <w:vertAlign w:val="baseline"/>
        </w:rPr>
        <w:t>: A Biography</w:t>
      </w:r>
      <w:r w:rsidRPr="00840DEC">
        <w:rPr>
          <w:rStyle w:val="FootnoteReference"/>
          <w:rFonts w:ascii="Times" w:hAnsi="Times"/>
          <w:sz w:val="18"/>
          <w:szCs w:val="18"/>
          <w:vertAlign w:val="baseline"/>
        </w:rPr>
        <w:t xml:space="preserve"> (2002); L. Sell, </w:t>
      </w:r>
      <w:r w:rsidRPr="00840DEC">
        <w:rPr>
          <w:rStyle w:val="FootnoteReference"/>
          <w:rFonts w:ascii="Times" w:hAnsi="Times"/>
          <w:i/>
          <w:sz w:val="18"/>
          <w:szCs w:val="18"/>
          <w:vertAlign w:val="baseline"/>
        </w:rPr>
        <w:t xml:space="preserve">Slobodan </w:t>
      </w:r>
      <w:proofErr w:type="spellStart"/>
      <w:r w:rsidRPr="00840DEC">
        <w:rPr>
          <w:rStyle w:val="FootnoteReference"/>
          <w:rFonts w:ascii="Times" w:hAnsi="Times"/>
          <w:i/>
          <w:sz w:val="18"/>
          <w:szCs w:val="18"/>
          <w:vertAlign w:val="baseline"/>
        </w:rPr>
        <w:t>Milošević</w:t>
      </w:r>
      <w:proofErr w:type="spellEnd"/>
      <w:r w:rsidRPr="00840DEC">
        <w:rPr>
          <w:rStyle w:val="FootnoteReference"/>
          <w:rFonts w:ascii="Times" w:hAnsi="Times"/>
          <w:i/>
          <w:sz w:val="18"/>
          <w:szCs w:val="18"/>
          <w:vertAlign w:val="baseline"/>
        </w:rPr>
        <w:t xml:space="preserve"> and the</w:t>
      </w:r>
      <w:r w:rsidRPr="00840DEC">
        <w:rPr>
          <w:rStyle w:val="FootnoteTextChar3"/>
          <w:rFonts w:ascii="Times" w:hAnsi="Times" w:cs="Times New Roman"/>
          <w:sz w:val="18"/>
          <w:szCs w:val="18"/>
        </w:rPr>
        <w:t xml:space="preserve"> </w:t>
      </w:r>
      <w:r w:rsidRPr="00840DEC">
        <w:rPr>
          <w:rStyle w:val="FootnoteTextChar3"/>
          <w:rFonts w:ascii="Times" w:hAnsi="Times" w:cs="Times New Roman"/>
          <w:i/>
          <w:sz w:val="18"/>
          <w:szCs w:val="18"/>
        </w:rPr>
        <w:t>Destruction of Yugoslavia</w:t>
      </w:r>
      <w:r w:rsidRPr="00840DEC">
        <w:rPr>
          <w:rStyle w:val="FootnoteTextChar3"/>
          <w:rFonts w:ascii="Times" w:hAnsi="Times" w:cs="Times New Roman"/>
          <w:sz w:val="18"/>
          <w:szCs w:val="18"/>
        </w:rPr>
        <w:t xml:space="preserve"> (2002); and V. </w:t>
      </w:r>
      <w:proofErr w:type="spellStart"/>
      <w:r w:rsidRPr="00840DEC">
        <w:rPr>
          <w:rStyle w:val="FootnoteTextChar3"/>
          <w:rFonts w:ascii="Times" w:hAnsi="Times" w:cs="Times New Roman"/>
          <w:sz w:val="18"/>
          <w:szCs w:val="18"/>
        </w:rPr>
        <w:t>Stevanović</w:t>
      </w:r>
      <w:proofErr w:type="spellEnd"/>
      <w:r w:rsidRPr="00840DEC">
        <w:rPr>
          <w:rStyle w:val="FootnoteTextChar3"/>
          <w:rFonts w:ascii="Times" w:hAnsi="Times" w:cs="Times New Roman"/>
          <w:sz w:val="18"/>
          <w:szCs w:val="18"/>
        </w:rPr>
        <w:t xml:space="preserve">, </w:t>
      </w:r>
      <w:proofErr w:type="spellStart"/>
      <w:r w:rsidRPr="00840DEC">
        <w:rPr>
          <w:rStyle w:val="FootnoteTextChar3"/>
          <w:rFonts w:ascii="Times" w:hAnsi="Times" w:cs="Times New Roman"/>
          <w:i/>
          <w:sz w:val="18"/>
          <w:szCs w:val="18"/>
        </w:rPr>
        <w:t>Milošević</w:t>
      </w:r>
      <w:proofErr w:type="spellEnd"/>
      <w:r w:rsidRPr="00840DEC">
        <w:rPr>
          <w:rStyle w:val="FootnoteTextChar3"/>
          <w:rFonts w:ascii="Times" w:hAnsi="Times" w:cs="Times New Roman"/>
          <w:i/>
          <w:sz w:val="18"/>
          <w:szCs w:val="18"/>
        </w:rPr>
        <w:t>: People's Tyrant</w:t>
      </w:r>
      <w:r w:rsidRPr="00840DEC">
        <w:rPr>
          <w:rStyle w:val="FootnoteTextChar3"/>
          <w:rFonts w:ascii="Times" w:hAnsi="Times" w:cs="Times New Roman"/>
          <w:sz w:val="18"/>
          <w:szCs w:val="18"/>
        </w:rPr>
        <w:t xml:space="preserve"> (2002). Also see B. </w:t>
      </w:r>
      <w:proofErr w:type="spellStart"/>
      <w:r w:rsidRPr="00840DEC">
        <w:rPr>
          <w:rStyle w:val="FootnoteTextChar3"/>
          <w:rFonts w:ascii="Times" w:hAnsi="Times" w:cs="Times New Roman"/>
          <w:sz w:val="18"/>
          <w:szCs w:val="18"/>
        </w:rPr>
        <w:t>Jović</w:t>
      </w:r>
      <w:proofErr w:type="spellEnd"/>
      <w:r w:rsidRPr="00840DEC">
        <w:rPr>
          <w:rStyle w:val="FootnoteTextChar3"/>
          <w:rFonts w:ascii="Times" w:hAnsi="Times" w:cs="Times New Roman"/>
          <w:sz w:val="18"/>
          <w:szCs w:val="18"/>
        </w:rPr>
        <w:t xml:space="preserve">, </w:t>
      </w:r>
      <w:proofErr w:type="spellStart"/>
      <w:r w:rsidRPr="00840DEC">
        <w:rPr>
          <w:rStyle w:val="FootnoteTextChar3"/>
          <w:rFonts w:ascii="Times" w:hAnsi="Times" w:cs="Times New Roman"/>
          <w:i/>
          <w:sz w:val="18"/>
          <w:szCs w:val="18"/>
        </w:rPr>
        <w:t>Knjiga</w:t>
      </w:r>
      <w:proofErr w:type="spellEnd"/>
      <w:r w:rsidRPr="00840DEC">
        <w:rPr>
          <w:rStyle w:val="FootnoteTextChar3"/>
          <w:rFonts w:ascii="Times" w:hAnsi="Times" w:cs="Times New Roman"/>
          <w:i/>
          <w:sz w:val="18"/>
          <w:szCs w:val="18"/>
        </w:rPr>
        <w:t xml:space="preserve"> o </w:t>
      </w:r>
      <w:proofErr w:type="spellStart"/>
      <w:r w:rsidRPr="00840DEC">
        <w:rPr>
          <w:rStyle w:val="FootnoteTextChar3"/>
          <w:rFonts w:ascii="Times" w:hAnsi="Times" w:cs="Times New Roman"/>
          <w:i/>
          <w:sz w:val="18"/>
          <w:szCs w:val="18"/>
        </w:rPr>
        <w:t>Miloševiću</w:t>
      </w:r>
      <w:proofErr w:type="spellEnd"/>
      <w:r w:rsidRPr="00840DEC">
        <w:rPr>
          <w:rStyle w:val="FootnoteTextChar3"/>
          <w:rFonts w:ascii="Times" w:hAnsi="Times" w:cs="Times New Roman"/>
          <w:i/>
          <w:sz w:val="18"/>
          <w:szCs w:val="18"/>
        </w:rPr>
        <w:t xml:space="preserve"> </w:t>
      </w:r>
      <w:r w:rsidRPr="00840DEC">
        <w:rPr>
          <w:rStyle w:val="FootnoteTextChar3"/>
          <w:rFonts w:ascii="Times" w:hAnsi="Times" w:cs="Times New Roman"/>
          <w:sz w:val="18"/>
          <w:szCs w:val="18"/>
        </w:rPr>
        <w:t xml:space="preserve">(2002); and I. </w:t>
      </w:r>
      <w:proofErr w:type="spellStart"/>
      <w:r w:rsidRPr="00840DEC">
        <w:rPr>
          <w:rStyle w:val="FootnoteTextChar3"/>
          <w:rFonts w:ascii="Times" w:hAnsi="Times" w:cs="Times New Roman"/>
          <w:sz w:val="18"/>
          <w:szCs w:val="18"/>
        </w:rPr>
        <w:t>Stambolić</w:t>
      </w:r>
      <w:proofErr w:type="spellEnd"/>
      <w:r w:rsidRPr="00840DEC">
        <w:rPr>
          <w:rStyle w:val="FootnoteTextChar3"/>
          <w:rFonts w:ascii="Times" w:hAnsi="Times" w:cs="Times New Roman"/>
          <w:sz w:val="18"/>
          <w:szCs w:val="18"/>
        </w:rPr>
        <w:t xml:space="preserve">, </w:t>
      </w:r>
      <w:r w:rsidRPr="00840DEC">
        <w:rPr>
          <w:rStyle w:val="FootnoteTextChar3"/>
          <w:rFonts w:ascii="Times" w:hAnsi="Times" w:cs="Times New Roman"/>
          <w:i/>
          <w:sz w:val="18"/>
          <w:szCs w:val="18"/>
        </w:rPr>
        <w:t xml:space="preserve">Put u </w:t>
      </w:r>
      <w:proofErr w:type="spellStart"/>
      <w:r w:rsidRPr="00840DEC">
        <w:rPr>
          <w:rStyle w:val="FootnoteTextChar3"/>
          <w:rFonts w:ascii="Times" w:hAnsi="Times" w:cs="Times New Roman"/>
          <w:i/>
          <w:sz w:val="18"/>
          <w:szCs w:val="18"/>
        </w:rPr>
        <w:t>bespuće</w:t>
      </w:r>
      <w:proofErr w:type="spellEnd"/>
      <w:r w:rsidRPr="00840DEC">
        <w:rPr>
          <w:rStyle w:val="FootnoteTextChar3"/>
          <w:rFonts w:ascii="Times" w:hAnsi="Times" w:cs="Times New Roman"/>
          <w:sz w:val="18"/>
          <w:szCs w:val="18"/>
        </w:rPr>
        <w:t xml:space="preserve"> (1995). And see note 76 above.</w:t>
      </w:r>
    </w:p>
  </w:footnote>
  <w:footnote w:id="80">
    <w:p w14:paraId="11E6808D" w14:textId="3DD7C22F" w:rsidR="00D435DA" w:rsidRPr="00840DEC" w:rsidRDefault="00D435DA" w:rsidP="00207C82">
      <w:pPr>
        <w:pStyle w:val="FootnoteText"/>
        <w:rPr>
          <w:rFonts w:ascii="Times" w:hAnsi="Times"/>
          <w:sz w:val="18"/>
          <w:szCs w:val="18"/>
          <w:lang w:val="nl-NL"/>
        </w:rPr>
      </w:pPr>
      <w:r w:rsidRPr="00840DEC">
        <w:rPr>
          <w:rStyle w:val="FootnoteReference"/>
          <w:rFonts w:ascii="Times" w:hAnsi="Times"/>
          <w:sz w:val="18"/>
          <w:szCs w:val="18"/>
        </w:rPr>
        <w:footnoteRef/>
      </w:r>
      <w:r w:rsidRPr="00840DEC">
        <w:rPr>
          <w:rFonts w:ascii="Times" w:hAnsi="Times"/>
          <w:sz w:val="18"/>
          <w:szCs w:val="18"/>
        </w:rPr>
        <w:t xml:space="preserve"> </w:t>
      </w:r>
      <w:r w:rsidRPr="00840DEC">
        <w:rPr>
          <w:rFonts w:ascii="Times" w:hAnsi="Times"/>
          <w:sz w:val="18"/>
          <w:szCs w:val="18"/>
          <w:lang w:val="en-US"/>
        </w:rPr>
        <w:t>F</w:t>
      </w:r>
      <w:proofErr w:type="spellStart"/>
      <w:r w:rsidRPr="00840DEC">
        <w:rPr>
          <w:rFonts w:ascii="Times" w:hAnsi="Times"/>
          <w:sz w:val="18"/>
          <w:szCs w:val="18"/>
        </w:rPr>
        <w:t>or</w:t>
      </w:r>
      <w:proofErr w:type="spellEnd"/>
      <w:r w:rsidRPr="00840DEC">
        <w:rPr>
          <w:rFonts w:ascii="Times" w:hAnsi="Times"/>
          <w:sz w:val="18"/>
          <w:szCs w:val="18"/>
        </w:rPr>
        <w:t xml:space="preserve"> example, see S. </w:t>
      </w:r>
      <w:proofErr w:type="spellStart"/>
      <w:r w:rsidRPr="00840DEC">
        <w:rPr>
          <w:rFonts w:ascii="Times" w:hAnsi="Times"/>
          <w:sz w:val="18"/>
          <w:szCs w:val="18"/>
        </w:rPr>
        <w:t>Biserko</w:t>
      </w:r>
      <w:proofErr w:type="spellEnd"/>
      <w:r w:rsidRPr="00840DEC">
        <w:rPr>
          <w:rFonts w:ascii="Times" w:hAnsi="Times"/>
          <w:sz w:val="18"/>
          <w:szCs w:val="18"/>
        </w:rPr>
        <w:t xml:space="preserve">, </w:t>
      </w:r>
      <w:r w:rsidRPr="00840DEC">
        <w:rPr>
          <w:rFonts w:ascii="Times" w:hAnsi="Times"/>
          <w:i/>
          <w:sz w:val="18"/>
          <w:szCs w:val="18"/>
        </w:rPr>
        <w:t>Yugoslavia’s Implosion: The Fatal Attraction of Serb Nationalism</w:t>
      </w:r>
      <w:r w:rsidRPr="00840DEC">
        <w:rPr>
          <w:rFonts w:ascii="Times" w:hAnsi="Times"/>
          <w:sz w:val="18"/>
          <w:szCs w:val="18"/>
        </w:rPr>
        <w:t xml:space="preserve"> (2012)</w:t>
      </w:r>
      <w:r w:rsidRPr="00840DEC">
        <w:rPr>
          <w:rFonts w:ascii="Times" w:hAnsi="Times"/>
          <w:i/>
          <w:sz w:val="18"/>
          <w:szCs w:val="18"/>
        </w:rPr>
        <w:t>;</w:t>
      </w:r>
      <w:r w:rsidRPr="00840DEC">
        <w:rPr>
          <w:rFonts w:ascii="Times" w:hAnsi="Times"/>
          <w:sz w:val="18"/>
          <w:szCs w:val="18"/>
        </w:rPr>
        <w:t xml:space="preserve"> L. Sell, </w:t>
      </w:r>
      <w:r w:rsidRPr="00840DEC">
        <w:rPr>
          <w:rFonts w:ascii="Times" w:hAnsi="Times"/>
          <w:i/>
          <w:sz w:val="18"/>
          <w:szCs w:val="18"/>
        </w:rPr>
        <w:t xml:space="preserve">Slobodan </w:t>
      </w:r>
      <w:proofErr w:type="spellStart"/>
      <w:r w:rsidRPr="00840DEC">
        <w:rPr>
          <w:rFonts w:ascii="Times" w:hAnsi="Times"/>
          <w:i/>
          <w:sz w:val="18"/>
          <w:szCs w:val="18"/>
        </w:rPr>
        <w:t>Milošević</w:t>
      </w:r>
      <w:proofErr w:type="spellEnd"/>
      <w:r w:rsidRPr="00840DEC">
        <w:rPr>
          <w:rFonts w:ascii="Times" w:hAnsi="Times"/>
          <w:i/>
          <w:sz w:val="18"/>
          <w:szCs w:val="18"/>
        </w:rPr>
        <w:t xml:space="preserve"> and the Destruction of Yugoslavia </w:t>
      </w:r>
      <w:r w:rsidRPr="00840DEC">
        <w:rPr>
          <w:rFonts w:ascii="Times" w:hAnsi="Times"/>
          <w:sz w:val="18"/>
          <w:szCs w:val="18"/>
        </w:rPr>
        <w:t xml:space="preserve">(2002); N. Cigar and P. Williams, </w:t>
      </w:r>
      <w:r w:rsidRPr="00840DEC">
        <w:rPr>
          <w:rFonts w:ascii="Times" w:hAnsi="Times"/>
          <w:i/>
          <w:sz w:val="18"/>
          <w:szCs w:val="18"/>
        </w:rPr>
        <w:t>Indictment in The Hague</w:t>
      </w:r>
      <w:r w:rsidRPr="00840DEC">
        <w:rPr>
          <w:rFonts w:ascii="Times" w:hAnsi="Times"/>
          <w:i/>
          <w:sz w:val="18"/>
          <w:szCs w:val="18"/>
          <w:lang w:val="en-US"/>
        </w:rPr>
        <w:t>: The Milo</w:t>
      </w:r>
      <w:r w:rsidRPr="00840DEC">
        <w:rPr>
          <w:rFonts w:ascii="Times" w:hAnsi="Times"/>
          <w:i/>
          <w:sz w:val="18"/>
          <w:szCs w:val="18"/>
          <w:lang w:val="hr-HR"/>
        </w:rPr>
        <w:t>š</w:t>
      </w:r>
      <w:proofErr w:type="spellStart"/>
      <w:r w:rsidRPr="00840DEC">
        <w:rPr>
          <w:rFonts w:ascii="Times" w:hAnsi="Times"/>
          <w:i/>
          <w:sz w:val="18"/>
          <w:szCs w:val="18"/>
          <w:lang w:val="en-US"/>
        </w:rPr>
        <w:t>ević</w:t>
      </w:r>
      <w:proofErr w:type="spellEnd"/>
      <w:r w:rsidRPr="00840DEC">
        <w:rPr>
          <w:rFonts w:ascii="Times" w:hAnsi="Times"/>
          <w:i/>
          <w:sz w:val="18"/>
          <w:szCs w:val="18"/>
          <w:lang w:val="en-US"/>
        </w:rPr>
        <w:t xml:space="preserve"> Regime and Crimes of the Balkan Wars</w:t>
      </w:r>
      <w:r w:rsidRPr="00840DEC">
        <w:rPr>
          <w:rFonts w:ascii="Times" w:hAnsi="Times"/>
          <w:sz w:val="18"/>
          <w:szCs w:val="18"/>
          <w:lang w:val="en-US"/>
        </w:rPr>
        <w:t xml:space="preserve"> (2002)</w:t>
      </w:r>
      <w:r w:rsidRPr="00840DEC">
        <w:rPr>
          <w:rFonts w:ascii="Times" w:hAnsi="Times"/>
          <w:sz w:val="18"/>
          <w:szCs w:val="18"/>
        </w:rPr>
        <w:t xml:space="preserve">; Tromp, </w:t>
      </w:r>
      <w:r w:rsidRPr="00840DEC">
        <w:rPr>
          <w:rFonts w:ascii="Times" w:hAnsi="Times"/>
          <w:i/>
          <w:sz w:val="18"/>
          <w:szCs w:val="18"/>
        </w:rPr>
        <w:t>Prosecuting Slobodan Milo</w:t>
      </w:r>
      <w:r w:rsidRPr="00840DEC">
        <w:rPr>
          <w:rFonts w:ascii="Times" w:hAnsi="Times"/>
          <w:i/>
          <w:sz w:val="18"/>
          <w:szCs w:val="18"/>
          <w:lang w:val="hr-HR"/>
        </w:rPr>
        <w:t>šević</w:t>
      </w:r>
      <w:r w:rsidRPr="00840DEC">
        <w:rPr>
          <w:rFonts w:ascii="Times" w:hAnsi="Times"/>
          <w:sz w:val="18"/>
          <w:szCs w:val="18"/>
        </w:rPr>
        <w:t xml:space="preserve"> (2016</w:t>
      </w:r>
      <w:r w:rsidRPr="00840DEC">
        <w:rPr>
          <w:rFonts w:ascii="Times" w:hAnsi="Times"/>
          <w:sz w:val="18"/>
          <w:szCs w:val="18"/>
          <w:lang w:val="nl-NL"/>
        </w:rPr>
        <w:t>).</w:t>
      </w:r>
    </w:p>
  </w:footnote>
  <w:footnote w:id="81">
    <w:p w14:paraId="52DE6615" w14:textId="5C64C0C7" w:rsidR="00D435DA" w:rsidRPr="00840DEC" w:rsidRDefault="00D435DA" w:rsidP="00207C82">
      <w:pPr>
        <w:pStyle w:val="FootnoteText"/>
        <w:rPr>
          <w:rFonts w:ascii="Times" w:hAnsi="Times"/>
          <w:sz w:val="18"/>
          <w:szCs w:val="18"/>
          <w:lang w:val="en-US"/>
        </w:rPr>
      </w:pPr>
      <w:r w:rsidRPr="00840DEC">
        <w:rPr>
          <w:rStyle w:val="FootnoteReference"/>
          <w:rFonts w:ascii="Times" w:hAnsi="Times"/>
          <w:sz w:val="18"/>
          <w:szCs w:val="18"/>
        </w:rPr>
        <w:footnoteRef/>
      </w:r>
      <w:r w:rsidRPr="00840DEC">
        <w:rPr>
          <w:rFonts w:ascii="Times" w:hAnsi="Times"/>
          <w:sz w:val="18"/>
          <w:szCs w:val="18"/>
        </w:rPr>
        <w:t xml:space="preserve"> For example, see L. J. Cohen, </w:t>
      </w:r>
      <w:r w:rsidRPr="00840DEC">
        <w:rPr>
          <w:rFonts w:ascii="Times" w:hAnsi="Times"/>
          <w:i/>
          <w:sz w:val="18"/>
          <w:szCs w:val="18"/>
        </w:rPr>
        <w:t>Broken Bonds</w:t>
      </w:r>
      <w:r w:rsidRPr="00840DEC">
        <w:rPr>
          <w:rFonts w:ascii="Times" w:hAnsi="Times"/>
          <w:sz w:val="18"/>
          <w:szCs w:val="18"/>
        </w:rPr>
        <w:t xml:space="preserve">: </w:t>
      </w:r>
      <w:r w:rsidRPr="00840DEC">
        <w:rPr>
          <w:rFonts w:ascii="Times" w:hAnsi="Times"/>
          <w:i/>
          <w:sz w:val="18"/>
          <w:szCs w:val="18"/>
        </w:rPr>
        <w:t xml:space="preserve">Yugoslavia's Disintegration And Balkan Politics in Transition </w:t>
      </w:r>
      <w:r w:rsidRPr="00840DEC">
        <w:rPr>
          <w:rFonts w:ascii="Times" w:hAnsi="Times"/>
          <w:sz w:val="18"/>
          <w:szCs w:val="18"/>
        </w:rPr>
        <w:t xml:space="preserve">(1995), </w:t>
      </w:r>
      <w:r w:rsidRPr="00840DEC">
        <w:rPr>
          <w:rFonts w:ascii="Times" w:hAnsi="Times"/>
          <w:sz w:val="18"/>
          <w:szCs w:val="18"/>
          <w:lang w:val="en-US"/>
        </w:rPr>
        <w:t xml:space="preserve">pp. 130 and 265. </w:t>
      </w:r>
    </w:p>
  </w:footnote>
  <w:footnote w:id="82">
    <w:p w14:paraId="38FF0AB2" w14:textId="0FAF5A53" w:rsidR="00D435DA" w:rsidRPr="00840DEC" w:rsidRDefault="00D435DA" w:rsidP="00207C82">
      <w:pPr>
        <w:pStyle w:val="FootnoteText"/>
        <w:rPr>
          <w:rFonts w:ascii="Times" w:hAnsi="Times"/>
          <w:sz w:val="18"/>
          <w:szCs w:val="18"/>
          <w:lang w:val="en-US"/>
        </w:rPr>
      </w:pPr>
      <w:r w:rsidRPr="00840DEC">
        <w:rPr>
          <w:rStyle w:val="FootnoteReference"/>
          <w:rFonts w:ascii="Times" w:hAnsi="Times"/>
          <w:sz w:val="18"/>
          <w:szCs w:val="18"/>
        </w:rPr>
        <w:footnoteRef/>
      </w:r>
      <w:r w:rsidRPr="00840DEC">
        <w:rPr>
          <w:rFonts w:ascii="Times" w:hAnsi="Times"/>
          <w:sz w:val="18"/>
          <w:szCs w:val="18"/>
        </w:rPr>
        <w:t xml:space="preserve"> See Cohen, </w:t>
      </w:r>
      <w:proofErr w:type="gramStart"/>
      <w:r w:rsidRPr="00840DEC">
        <w:rPr>
          <w:rFonts w:ascii="Times" w:hAnsi="Times"/>
          <w:sz w:val="18"/>
          <w:szCs w:val="18"/>
        </w:rPr>
        <w:t>ibid.</w:t>
      </w:r>
      <w:r w:rsidRPr="00840DEC">
        <w:rPr>
          <w:rFonts w:ascii="Times" w:hAnsi="Times"/>
          <w:sz w:val="18"/>
          <w:szCs w:val="18"/>
          <w:lang w:val="en-US"/>
        </w:rPr>
        <w:t>;</w:t>
      </w:r>
      <w:proofErr w:type="gramEnd"/>
      <w:r w:rsidRPr="00840DEC">
        <w:rPr>
          <w:rFonts w:ascii="Times" w:hAnsi="Times"/>
          <w:sz w:val="18"/>
          <w:szCs w:val="18"/>
          <w:lang w:val="en-US"/>
        </w:rPr>
        <w:t xml:space="preserve"> Cohen, note 77 above; A. </w:t>
      </w:r>
      <w:proofErr w:type="spellStart"/>
      <w:r w:rsidRPr="00840DEC">
        <w:rPr>
          <w:rFonts w:ascii="Times" w:hAnsi="Times"/>
          <w:sz w:val="18"/>
          <w:szCs w:val="18"/>
          <w:lang w:val="en-US"/>
        </w:rPr>
        <w:t>Pavković</w:t>
      </w:r>
      <w:proofErr w:type="spellEnd"/>
      <w:r w:rsidRPr="00840DEC">
        <w:rPr>
          <w:rFonts w:ascii="Times" w:hAnsi="Times"/>
          <w:sz w:val="18"/>
          <w:szCs w:val="18"/>
          <w:lang w:val="en-US"/>
        </w:rPr>
        <w:t xml:space="preserve">, </w:t>
      </w:r>
      <w:r w:rsidRPr="00840DEC">
        <w:rPr>
          <w:rFonts w:ascii="Times" w:hAnsi="Times"/>
          <w:i/>
          <w:sz w:val="18"/>
          <w:szCs w:val="18"/>
          <w:lang w:val="en-US"/>
        </w:rPr>
        <w:t>The</w:t>
      </w:r>
      <w:r w:rsidRPr="00840DEC">
        <w:rPr>
          <w:rFonts w:ascii="Times" w:hAnsi="Times"/>
          <w:sz w:val="18"/>
          <w:szCs w:val="18"/>
          <w:lang w:val="en-US"/>
        </w:rPr>
        <w:t xml:space="preserve"> </w:t>
      </w:r>
      <w:r w:rsidRPr="00840DEC">
        <w:rPr>
          <w:rFonts w:ascii="Times" w:hAnsi="Times"/>
          <w:i/>
          <w:sz w:val="18"/>
          <w:szCs w:val="18"/>
          <w:lang w:val="en-US"/>
        </w:rPr>
        <w:t>Fragmentation of Yugoslavia: Nationalism and War in the Balkans</w:t>
      </w:r>
      <w:r w:rsidRPr="00840DEC">
        <w:rPr>
          <w:rFonts w:ascii="Times" w:hAnsi="Times"/>
          <w:sz w:val="18"/>
          <w:szCs w:val="18"/>
          <w:lang w:val="en-US"/>
        </w:rPr>
        <w:t xml:space="preserve"> (1997); S. L. </w:t>
      </w:r>
      <w:r w:rsidRPr="00840DEC">
        <w:rPr>
          <w:rFonts w:ascii="Times" w:hAnsi="Times"/>
          <w:sz w:val="18"/>
          <w:szCs w:val="18"/>
        </w:rPr>
        <w:t xml:space="preserve">Woodward, </w:t>
      </w:r>
      <w:r w:rsidRPr="00840DEC">
        <w:rPr>
          <w:rFonts w:ascii="Times" w:hAnsi="Times"/>
          <w:i/>
          <w:sz w:val="18"/>
          <w:szCs w:val="18"/>
        </w:rPr>
        <w:t>Balkan Tragedy: Chaos and Dissolution after the Cold War</w:t>
      </w:r>
      <w:r w:rsidRPr="00840DEC">
        <w:rPr>
          <w:rFonts w:ascii="Times" w:hAnsi="Times"/>
          <w:sz w:val="18"/>
          <w:szCs w:val="18"/>
        </w:rPr>
        <w:t xml:space="preserve"> (1995);</w:t>
      </w:r>
      <w:r w:rsidRPr="00840DEC">
        <w:rPr>
          <w:rFonts w:ascii="Times" w:hAnsi="Times"/>
          <w:i/>
          <w:sz w:val="18"/>
          <w:szCs w:val="18"/>
        </w:rPr>
        <w:t xml:space="preserve"> </w:t>
      </w:r>
      <w:r w:rsidRPr="00840DEC">
        <w:rPr>
          <w:rFonts w:ascii="Times" w:hAnsi="Times"/>
          <w:sz w:val="18"/>
          <w:szCs w:val="18"/>
        </w:rPr>
        <w:t>and</w:t>
      </w:r>
      <w:r w:rsidRPr="00840DEC">
        <w:rPr>
          <w:rFonts w:ascii="Times" w:hAnsi="Times"/>
          <w:sz w:val="18"/>
          <w:szCs w:val="18"/>
          <w:lang w:val="en-US"/>
        </w:rPr>
        <w:t xml:space="preserve"> D. Jovi</w:t>
      </w:r>
      <w:r w:rsidRPr="00840DEC">
        <w:rPr>
          <w:rFonts w:ascii="Times" w:hAnsi="Times"/>
          <w:sz w:val="18"/>
          <w:szCs w:val="18"/>
          <w:lang w:val="hr-HR"/>
        </w:rPr>
        <w:t>ć</w:t>
      </w:r>
      <w:r w:rsidRPr="00840DEC">
        <w:rPr>
          <w:rFonts w:ascii="Times" w:hAnsi="Times"/>
          <w:sz w:val="18"/>
          <w:szCs w:val="18"/>
          <w:lang w:val="en-US"/>
        </w:rPr>
        <w:t xml:space="preserve">, </w:t>
      </w:r>
      <w:proofErr w:type="spellStart"/>
      <w:r w:rsidRPr="00840DEC">
        <w:rPr>
          <w:rFonts w:ascii="Times" w:hAnsi="Times"/>
          <w:i/>
          <w:sz w:val="18"/>
          <w:szCs w:val="18"/>
          <w:lang w:val="en-US"/>
        </w:rPr>
        <w:t>Jugoslavija</w:t>
      </w:r>
      <w:proofErr w:type="spellEnd"/>
      <w:r w:rsidRPr="00840DEC">
        <w:rPr>
          <w:rFonts w:ascii="Times" w:hAnsi="Times"/>
          <w:i/>
          <w:sz w:val="18"/>
          <w:szCs w:val="18"/>
          <w:lang w:val="en-US"/>
        </w:rPr>
        <w:t xml:space="preserve">: </w:t>
      </w:r>
      <w:proofErr w:type="spellStart"/>
      <w:r w:rsidRPr="00840DEC">
        <w:rPr>
          <w:rFonts w:ascii="Times" w:hAnsi="Times"/>
          <w:i/>
          <w:sz w:val="18"/>
          <w:szCs w:val="18"/>
          <w:lang w:val="en-US"/>
        </w:rPr>
        <w:t>država</w:t>
      </w:r>
      <w:proofErr w:type="spellEnd"/>
      <w:r w:rsidRPr="00840DEC">
        <w:rPr>
          <w:rFonts w:ascii="Times" w:hAnsi="Times"/>
          <w:i/>
          <w:sz w:val="18"/>
          <w:szCs w:val="18"/>
          <w:lang w:val="en-US"/>
        </w:rPr>
        <w:t xml:space="preserve"> </w:t>
      </w:r>
      <w:proofErr w:type="spellStart"/>
      <w:r w:rsidRPr="00840DEC">
        <w:rPr>
          <w:rFonts w:ascii="Times" w:hAnsi="Times"/>
          <w:i/>
          <w:sz w:val="18"/>
          <w:szCs w:val="18"/>
          <w:lang w:val="en-US"/>
        </w:rPr>
        <w:t>koja</w:t>
      </w:r>
      <w:proofErr w:type="spellEnd"/>
      <w:r w:rsidRPr="00840DEC">
        <w:rPr>
          <w:rFonts w:ascii="Times" w:hAnsi="Times"/>
          <w:i/>
          <w:sz w:val="18"/>
          <w:szCs w:val="18"/>
          <w:lang w:val="en-US"/>
        </w:rPr>
        <w:t xml:space="preserve"> je </w:t>
      </w:r>
      <w:proofErr w:type="spellStart"/>
      <w:r w:rsidRPr="00840DEC">
        <w:rPr>
          <w:rFonts w:ascii="Times" w:hAnsi="Times"/>
          <w:i/>
          <w:sz w:val="18"/>
          <w:szCs w:val="18"/>
          <w:lang w:val="en-US"/>
        </w:rPr>
        <w:t>odumrla</w:t>
      </w:r>
      <w:proofErr w:type="spellEnd"/>
      <w:r w:rsidRPr="00840DEC">
        <w:rPr>
          <w:rFonts w:ascii="Times" w:hAnsi="Times"/>
          <w:sz w:val="18"/>
          <w:szCs w:val="18"/>
          <w:lang w:val="en-US"/>
        </w:rPr>
        <w:t xml:space="preserve"> (2003).</w:t>
      </w:r>
    </w:p>
  </w:footnote>
  <w:footnote w:id="83">
    <w:p w14:paraId="2B4A2B0D" w14:textId="11901928" w:rsidR="00D435DA" w:rsidRPr="00840DEC" w:rsidRDefault="00D435DA" w:rsidP="00207C82">
      <w:pPr>
        <w:pStyle w:val="FootnoteText"/>
        <w:rPr>
          <w:rFonts w:ascii="Times" w:hAnsi="Times"/>
          <w:sz w:val="18"/>
          <w:szCs w:val="18"/>
          <w:lang w:val="en-US"/>
        </w:rPr>
      </w:pPr>
      <w:r w:rsidRPr="00840DEC">
        <w:rPr>
          <w:rStyle w:val="FootnoteReference"/>
          <w:rFonts w:ascii="Times" w:hAnsi="Times"/>
          <w:sz w:val="18"/>
          <w:szCs w:val="18"/>
        </w:rPr>
        <w:footnoteRef/>
      </w:r>
      <w:r w:rsidRPr="00840DEC">
        <w:rPr>
          <w:rFonts w:ascii="Times" w:hAnsi="Times"/>
          <w:sz w:val="18"/>
          <w:szCs w:val="18"/>
        </w:rPr>
        <w:t xml:space="preserve"> Jovi</w:t>
      </w:r>
      <w:r w:rsidRPr="00840DEC">
        <w:rPr>
          <w:rFonts w:ascii="Times" w:hAnsi="Times"/>
          <w:sz w:val="18"/>
          <w:szCs w:val="18"/>
          <w:lang w:val="hr-HR"/>
        </w:rPr>
        <w:t>ć</w:t>
      </w:r>
      <w:r w:rsidRPr="00840DEC">
        <w:rPr>
          <w:rFonts w:ascii="Times" w:hAnsi="Times"/>
          <w:sz w:val="18"/>
          <w:szCs w:val="18"/>
        </w:rPr>
        <w:t xml:space="preserve">, </w:t>
      </w:r>
      <w:proofErr w:type="gramStart"/>
      <w:r w:rsidRPr="00840DEC">
        <w:rPr>
          <w:rFonts w:ascii="Times" w:hAnsi="Times"/>
          <w:sz w:val="18"/>
          <w:szCs w:val="18"/>
          <w:lang w:val="en-US"/>
        </w:rPr>
        <w:t>ibid.,</w:t>
      </w:r>
      <w:proofErr w:type="gramEnd"/>
      <w:r w:rsidRPr="00840DEC">
        <w:rPr>
          <w:rFonts w:ascii="Times" w:hAnsi="Times"/>
          <w:i/>
          <w:sz w:val="18"/>
          <w:szCs w:val="18"/>
          <w:lang w:val="en-US"/>
        </w:rPr>
        <w:t xml:space="preserve"> </w:t>
      </w:r>
      <w:r w:rsidRPr="00840DEC">
        <w:rPr>
          <w:rFonts w:ascii="Times" w:hAnsi="Times"/>
          <w:sz w:val="18"/>
          <w:szCs w:val="18"/>
          <w:lang w:val="en-US"/>
        </w:rPr>
        <w:t>pp. 491-492;</w:t>
      </w:r>
      <w:r w:rsidRPr="00840DEC">
        <w:rPr>
          <w:rFonts w:ascii="Times" w:hAnsi="Times"/>
          <w:i/>
          <w:sz w:val="18"/>
          <w:szCs w:val="18"/>
          <w:lang w:val="en-US"/>
        </w:rPr>
        <w:t xml:space="preserve"> </w:t>
      </w:r>
      <w:r w:rsidRPr="00840DEC">
        <w:rPr>
          <w:rFonts w:ascii="Times" w:hAnsi="Times"/>
          <w:sz w:val="18"/>
          <w:szCs w:val="18"/>
          <w:lang w:val="en-US"/>
        </w:rPr>
        <w:t>Woodward,</w:t>
      </w:r>
      <w:r w:rsidRPr="00840DEC">
        <w:rPr>
          <w:rFonts w:ascii="Times" w:hAnsi="Times"/>
          <w:i/>
          <w:sz w:val="18"/>
          <w:szCs w:val="18"/>
          <w:lang w:val="en-US"/>
        </w:rPr>
        <w:t xml:space="preserve"> </w:t>
      </w:r>
      <w:r w:rsidRPr="00840DEC">
        <w:rPr>
          <w:rFonts w:ascii="Times" w:hAnsi="Times"/>
          <w:sz w:val="18"/>
          <w:szCs w:val="18"/>
          <w:lang w:val="en-US"/>
        </w:rPr>
        <w:t>ibid.</w:t>
      </w:r>
      <w:r w:rsidRPr="00840DEC">
        <w:rPr>
          <w:rFonts w:ascii="Times" w:hAnsi="Times"/>
          <w:i/>
          <w:sz w:val="18"/>
          <w:szCs w:val="18"/>
          <w:lang w:val="en-US"/>
        </w:rPr>
        <w:t xml:space="preserve">, </w:t>
      </w:r>
      <w:r w:rsidRPr="00840DEC">
        <w:rPr>
          <w:rFonts w:ascii="Times" w:hAnsi="Times"/>
          <w:sz w:val="18"/>
          <w:szCs w:val="18"/>
          <w:lang w:val="en-US"/>
        </w:rPr>
        <w:t>pp. 80 and 94</w:t>
      </w:r>
      <w:r w:rsidRPr="00840DEC">
        <w:rPr>
          <w:rFonts w:ascii="Times" w:hAnsi="Times"/>
          <w:i/>
          <w:sz w:val="18"/>
          <w:szCs w:val="18"/>
          <w:lang w:val="en-US"/>
        </w:rPr>
        <w:t>.</w:t>
      </w:r>
    </w:p>
  </w:footnote>
  <w:footnote w:id="84">
    <w:p w14:paraId="57626A23" w14:textId="770A9ADB" w:rsidR="00D435DA" w:rsidRPr="00840DEC" w:rsidRDefault="00D435DA" w:rsidP="00207C82">
      <w:pPr>
        <w:pStyle w:val="NFootnotes"/>
        <w:rPr>
          <w:rFonts w:ascii="Times" w:hAnsi="Times"/>
          <w:sz w:val="18"/>
          <w:szCs w:val="18"/>
          <w:lang w:val="en-US"/>
        </w:rPr>
      </w:pPr>
      <w:r w:rsidRPr="00840DEC">
        <w:rPr>
          <w:rStyle w:val="FootnoteReference"/>
          <w:rFonts w:ascii="Times" w:hAnsi="Times"/>
          <w:sz w:val="18"/>
          <w:szCs w:val="18"/>
        </w:rPr>
        <w:footnoteRef/>
      </w:r>
      <w:r w:rsidRPr="00840DEC">
        <w:rPr>
          <w:rFonts w:ascii="Times" w:hAnsi="Times"/>
          <w:sz w:val="18"/>
          <w:szCs w:val="18"/>
          <w:vertAlign w:val="superscript"/>
        </w:rPr>
        <w:t xml:space="preserve"> </w:t>
      </w:r>
      <w:r w:rsidRPr="00840DEC">
        <w:rPr>
          <w:rFonts w:ascii="Times" w:hAnsi="Times"/>
          <w:sz w:val="18"/>
          <w:szCs w:val="18"/>
        </w:rPr>
        <w:t xml:space="preserve">For example, see </w:t>
      </w:r>
      <w:r w:rsidRPr="00840DEC">
        <w:rPr>
          <w:rStyle w:val="FootnoteTextChar3"/>
          <w:rFonts w:ascii="Times" w:hAnsi="Times"/>
          <w:sz w:val="18"/>
          <w:szCs w:val="18"/>
        </w:rPr>
        <w:t xml:space="preserve">S. </w:t>
      </w:r>
      <w:proofErr w:type="spellStart"/>
      <w:r w:rsidRPr="00840DEC">
        <w:rPr>
          <w:rStyle w:val="FootnoteTextChar3"/>
          <w:rFonts w:ascii="Times" w:hAnsi="Times"/>
          <w:sz w:val="18"/>
          <w:szCs w:val="18"/>
        </w:rPr>
        <w:t>Antonić</w:t>
      </w:r>
      <w:proofErr w:type="spellEnd"/>
      <w:r w:rsidRPr="00840DEC">
        <w:rPr>
          <w:rStyle w:val="FootnoteTextChar3"/>
          <w:rFonts w:ascii="Times" w:hAnsi="Times"/>
          <w:i/>
          <w:sz w:val="18"/>
          <w:szCs w:val="18"/>
        </w:rPr>
        <w:t>, Slobodan Milo</w:t>
      </w:r>
      <w:r w:rsidRPr="00840DEC">
        <w:rPr>
          <w:rStyle w:val="FootnoteTextChar3"/>
          <w:rFonts w:ascii="Times" w:hAnsi="Times"/>
          <w:i/>
          <w:sz w:val="18"/>
          <w:szCs w:val="18"/>
          <w:lang w:val="hr-HR"/>
        </w:rPr>
        <w:t>š</w:t>
      </w:r>
      <w:proofErr w:type="spellStart"/>
      <w:r w:rsidRPr="00840DEC">
        <w:rPr>
          <w:rStyle w:val="FootnoteTextChar3"/>
          <w:rFonts w:ascii="Times" w:hAnsi="Times"/>
          <w:i/>
          <w:sz w:val="18"/>
          <w:szCs w:val="18"/>
        </w:rPr>
        <w:t>ević</w:t>
      </w:r>
      <w:proofErr w:type="spellEnd"/>
      <w:r w:rsidRPr="00840DEC">
        <w:rPr>
          <w:rStyle w:val="FootnoteTextChar3"/>
          <w:rFonts w:ascii="Times" w:hAnsi="Times"/>
          <w:i/>
          <w:sz w:val="18"/>
          <w:szCs w:val="18"/>
        </w:rPr>
        <w:t xml:space="preserve">: </w:t>
      </w:r>
      <w:proofErr w:type="spellStart"/>
      <w:r w:rsidRPr="00840DEC">
        <w:rPr>
          <w:rStyle w:val="FootnoteTextChar3"/>
          <w:rFonts w:ascii="Times" w:hAnsi="Times"/>
          <w:i/>
          <w:sz w:val="18"/>
          <w:szCs w:val="18"/>
        </w:rPr>
        <w:t>još</w:t>
      </w:r>
      <w:proofErr w:type="spellEnd"/>
      <w:r w:rsidRPr="00840DEC">
        <w:rPr>
          <w:rStyle w:val="FootnoteTextChar3"/>
          <w:rFonts w:ascii="Times" w:hAnsi="Times"/>
          <w:i/>
          <w:sz w:val="18"/>
          <w:szCs w:val="18"/>
        </w:rPr>
        <w:t xml:space="preserve"> </w:t>
      </w:r>
      <w:proofErr w:type="spellStart"/>
      <w:r w:rsidRPr="00840DEC">
        <w:rPr>
          <w:rStyle w:val="FootnoteTextChar3"/>
          <w:rFonts w:ascii="Times" w:hAnsi="Times"/>
          <w:i/>
          <w:sz w:val="18"/>
          <w:szCs w:val="18"/>
        </w:rPr>
        <w:t>nije</w:t>
      </w:r>
      <w:proofErr w:type="spellEnd"/>
      <w:r w:rsidRPr="00840DEC">
        <w:rPr>
          <w:rStyle w:val="FootnoteTextChar3"/>
          <w:rFonts w:ascii="Times" w:hAnsi="Times"/>
          <w:i/>
          <w:sz w:val="18"/>
          <w:szCs w:val="18"/>
        </w:rPr>
        <w:t xml:space="preserve"> </w:t>
      </w:r>
      <w:proofErr w:type="spellStart"/>
      <w:r w:rsidRPr="00840DEC">
        <w:rPr>
          <w:rStyle w:val="FootnoteTextChar3"/>
          <w:rFonts w:ascii="Times" w:hAnsi="Times"/>
          <w:i/>
          <w:sz w:val="18"/>
          <w:szCs w:val="18"/>
        </w:rPr>
        <w:t>gotovo</w:t>
      </w:r>
      <w:proofErr w:type="spellEnd"/>
      <w:r w:rsidRPr="00840DEC">
        <w:rPr>
          <w:rStyle w:val="FootnoteTextChar3"/>
          <w:rFonts w:ascii="Times" w:hAnsi="Times"/>
          <w:sz w:val="18"/>
          <w:szCs w:val="18"/>
        </w:rPr>
        <w:t xml:space="preserve"> (201</w:t>
      </w:r>
      <w:r w:rsidRPr="00840DEC">
        <w:rPr>
          <w:rStyle w:val="FootnoteTextChar3"/>
          <w:rFonts w:ascii="Times" w:hAnsi="Times"/>
          <w:sz w:val="18"/>
          <w:szCs w:val="18"/>
          <w:lang w:val="en-US"/>
        </w:rPr>
        <w:t>4)</w:t>
      </w:r>
      <w:r w:rsidRPr="00840DEC">
        <w:rPr>
          <w:rStyle w:val="FootnoteTextChar3"/>
          <w:rFonts w:ascii="Times" w:hAnsi="Times"/>
          <w:sz w:val="18"/>
          <w:szCs w:val="18"/>
        </w:rPr>
        <w:t xml:space="preserve">; B. </w:t>
      </w:r>
      <w:r w:rsidRPr="00840DEC">
        <w:rPr>
          <w:rFonts w:ascii="Times" w:hAnsi="Times"/>
          <w:sz w:val="18"/>
          <w:szCs w:val="18"/>
          <w:lang w:val="en-US"/>
        </w:rPr>
        <w:t>Jovi</w:t>
      </w:r>
      <w:r w:rsidRPr="00840DEC">
        <w:rPr>
          <w:rFonts w:ascii="Times" w:hAnsi="Times"/>
          <w:sz w:val="18"/>
          <w:szCs w:val="18"/>
          <w:lang w:val="hr-HR"/>
        </w:rPr>
        <w:t>ć,</w:t>
      </w:r>
      <w:r w:rsidRPr="00840DEC">
        <w:rPr>
          <w:rFonts w:ascii="Times" w:hAnsi="Times"/>
          <w:sz w:val="18"/>
          <w:szCs w:val="18"/>
          <w:lang w:val="en-US"/>
        </w:rPr>
        <w:t xml:space="preserve"> </w:t>
      </w:r>
      <w:r w:rsidRPr="00840DEC">
        <w:rPr>
          <w:rFonts w:ascii="Times" w:hAnsi="Times"/>
          <w:i/>
          <w:sz w:val="18"/>
          <w:szCs w:val="18"/>
          <w:lang w:val="en-US"/>
        </w:rPr>
        <w:t xml:space="preserve">Od </w:t>
      </w:r>
      <w:proofErr w:type="spellStart"/>
      <w:r w:rsidRPr="00840DEC">
        <w:rPr>
          <w:rFonts w:ascii="Times" w:hAnsi="Times"/>
          <w:i/>
          <w:sz w:val="18"/>
          <w:szCs w:val="18"/>
          <w:lang w:val="en-US"/>
        </w:rPr>
        <w:t>Gazimestana</w:t>
      </w:r>
      <w:proofErr w:type="spellEnd"/>
      <w:r w:rsidRPr="00840DEC">
        <w:rPr>
          <w:rFonts w:ascii="Times" w:hAnsi="Times"/>
          <w:i/>
          <w:sz w:val="18"/>
          <w:szCs w:val="18"/>
          <w:lang w:val="en-US"/>
        </w:rPr>
        <w:t xml:space="preserve"> do </w:t>
      </w:r>
      <w:proofErr w:type="spellStart"/>
      <w:r w:rsidRPr="00840DEC">
        <w:rPr>
          <w:rFonts w:ascii="Times" w:hAnsi="Times"/>
          <w:i/>
          <w:sz w:val="18"/>
          <w:szCs w:val="18"/>
          <w:lang w:val="en-US"/>
        </w:rPr>
        <w:t>Haga</w:t>
      </w:r>
      <w:proofErr w:type="spellEnd"/>
      <w:r w:rsidRPr="00840DEC">
        <w:rPr>
          <w:rFonts w:ascii="Times" w:hAnsi="Times"/>
          <w:i/>
          <w:sz w:val="18"/>
          <w:szCs w:val="18"/>
          <w:lang w:val="en-US"/>
        </w:rPr>
        <w:t xml:space="preserve"> </w:t>
      </w:r>
      <w:proofErr w:type="spellStart"/>
      <w:r w:rsidRPr="00840DEC">
        <w:rPr>
          <w:rFonts w:ascii="Times" w:hAnsi="Times"/>
          <w:i/>
          <w:sz w:val="18"/>
          <w:szCs w:val="18"/>
          <w:lang w:val="en-US"/>
        </w:rPr>
        <w:t>Vreme</w:t>
      </w:r>
      <w:proofErr w:type="spellEnd"/>
      <w:r w:rsidRPr="00840DEC">
        <w:rPr>
          <w:rFonts w:ascii="Times" w:hAnsi="Times"/>
          <w:i/>
          <w:sz w:val="18"/>
          <w:szCs w:val="18"/>
          <w:lang w:val="en-US"/>
        </w:rPr>
        <w:t xml:space="preserve"> </w:t>
      </w:r>
      <w:proofErr w:type="spellStart"/>
      <w:r w:rsidRPr="00840DEC">
        <w:rPr>
          <w:rFonts w:ascii="Times" w:hAnsi="Times"/>
          <w:i/>
          <w:sz w:val="18"/>
          <w:szCs w:val="18"/>
          <w:lang w:val="en-US"/>
        </w:rPr>
        <w:t>Slobodana</w:t>
      </w:r>
      <w:proofErr w:type="spellEnd"/>
      <w:r w:rsidRPr="00840DEC">
        <w:rPr>
          <w:rFonts w:ascii="Times" w:hAnsi="Times"/>
          <w:i/>
          <w:sz w:val="18"/>
          <w:szCs w:val="18"/>
          <w:lang w:val="en-US"/>
        </w:rPr>
        <w:t xml:space="preserve"> </w:t>
      </w:r>
      <w:proofErr w:type="spellStart"/>
      <w:r w:rsidRPr="00840DEC">
        <w:rPr>
          <w:rFonts w:ascii="Times" w:hAnsi="Times"/>
          <w:i/>
          <w:sz w:val="18"/>
          <w:szCs w:val="18"/>
          <w:lang w:val="en-US"/>
        </w:rPr>
        <w:t>Miloševića</w:t>
      </w:r>
      <w:proofErr w:type="spellEnd"/>
      <w:r w:rsidRPr="00840DEC">
        <w:rPr>
          <w:rFonts w:ascii="Times" w:hAnsi="Times"/>
          <w:i/>
          <w:iCs/>
          <w:sz w:val="18"/>
          <w:szCs w:val="18"/>
        </w:rPr>
        <w:t xml:space="preserve">: </w:t>
      </w:r>
      <w:proofErr w:type="spellStart"/>
      <w:r w:rsidRPr="00840DEC">
        <w:rPr>
          <w:rFonts w:ascii="Times" w:hAnsi="Times"/>
          <w:i/>
          <w:iCs/>
          <w:sz w:val="18"/>
          <w:szCs w:val="18"/>
        </w:rPr>
        <w:t>vreme</w:t>
      </w:r>
      <w:proofErr w:type="spellEnd"/>
      <w:r w:rsidRPr="00840DEC">
        <w:rPr>
          <w:rFonts w:ascii="Times" w:hAnsi="Times"/>
          <w:i/>
          <w:iCs/>
          <w:sz w:val="18"/>
          <w:szCs w:val="18"/>
        </w:rPr>
        <w:t xml:space="preserve"> </w:t>
      </w:r>
      <w:proofErr w:type="spellStart"/>
      <w:r w:rsidRPr="00840DEC">
        <w:rPr>
          <w:rFonts w:ascii="Times" w:hAnsi="Times"/>
          <w:i/>
          <w:iCs/>
          <w:sz w:val="18"/>
          <w:szCs w:val="18"/>
        </w:rPr>
        <w:t>Slobodana</w:t>
      </w:r>
      <w:proofErr w:type="spellEnd"/>
      <w:r w:rsidRPr="00840DEC">
        <w:rPr>
          <w:rFonts w:ascii="Times" w:hAnsi="Times"/>
          <w:i/>
          <w:iCs/>
          <w:sz w:val="18"/>
          <w:szCs w:val="18"/>
        </w:rPr>
        <w:t xml:space="preserve"> </w:t>
      </w:r>
      <w:proofErr w:type="spellStart"/>
      <w:r w:rsidRPr="00840DEC">
        <w:rPr>
          <w:rFonts w:ascii="Times" w:hAnsi="Times"/>
          <w:i/>
          <w:iCs/>
          <w:sz w:val="18"/>
          <w:szCs w:val="18"/>
        </w:rPr>
        <w:t>Miloševića</w:t>
      </w:r>
      <w:proofErr w:type="spellEnd"/>
      <w:r w:rsidRPr="00840DEC">
        <w:rPr>
          <w:rFonts w:ascii="Times" w:hAnsi="Times"/>
          <w:sz w:val="18"/>
          <w:szCs w:val="18"/>
        </w:rPr>
        <w:t xml:space="preserve"> (2009), p. </w:t>
      </w:r>
      <w:r w:rsidRPr="00840DEC">
        <w:rPr>
          <w:rFonts w:ascii="Times" w:hAnsi="Times"/>
          <w:sz w:val="18"/>
          <w:szCs w:val="18"/>
          <w:lang w:val="en-US"/>
        </w:rPr>
        <w:t>200.</w:t>
      </w:r>
      <w:r w:rsidRPr="00840DEC">
        <w:rPr>
          <w:rStyle w:val="FootnoteTextChar3"/>
          <w:rFonts w:ascii="Times" w:hAnsi="Times"/>
          <w:i/>
          <w:sz w:val="18"/>
          <w:szCs w:val="18"/>
        </w:rPr>
        <w:t xml:space="preserve"> </w:t>
      </w:r>
      <w:proofErr w:type="spellStart"/>
      <w:r w:rsidRPr="00840DEC">
        <w:rPr>
          <w:rStyle w:val="FootnoteTextChar3"/>
          <w:rFonts w:ascii="Times" w:hAnsi="Times"/>
          <w:sz w:val="18"/>
          <w:szCs w:val="18"/>
        </w:rPr>
        <w:t>Jović</w:t>
      </w:r>
      <w:proofErr w:type="spellEnd"/>
      <w:r w:rsidRPr="00840DEC">
        <w:rPr>
          <w:rStyle w:val="FootnoteTextChar3"/>
          <w:rFonts w:ascii="Times" w:hAnsi="Times"/>
          <w:sz w:val="18"/>
          <w:szCs w:val="18"/>
        </w:rPr>
        <w:t xml:space="preserve"> emerged as an apologist in </w:t>
      </w:r>
      <w:r w:rsidRPr="00840DEC">
        <w:rPr>
          <w:rStyle w:val="FootnoteTextChar3"/>
          <w:rFonts w:ascii="Times" w:hAnsi="Times"/>
          <w:i/>
          <w:sz w:val="18"/>
          <w:szCs w:val="18"/>
        </w:rPr>
        <w:t xml:space="preserve">Od </w:t>
      </w:r>
      <w:proofErr w:type="spellStart"/>
      <w:r w:rsidRPr="00840DEC">
        <w:rPr>
          <w:rStyle w:val="FootnoteTextChar3"/>
          <w:rFonts w:ascii="Times" w:hAnsi="Times"/>
          <w:i/>
          <w:sz w:val="18"/>
          <w:szCs w:val="18"/>
        </w:rPr>
        <w:t>Gazimestana</w:t>
      </w:r>
      <w:proofErr w:type="spellEnd"/>
      <w:r w:rsidRPr="00840DEC">
        <w:rPr>
          <w:rStyle w:val="FootnoteTextChar3"/>
          <w:rFonts w:ascii="Times" w:hAnsi="Times"/>
          <w:i/>
          <w:sz w:val="18"/>
          <w:szCs w:val="18"/>
        </w:rPr>
        <w:t xml:space="preserve"> do </w:t>
      </w:r>
      <w:proofErr w:type="spellStart"/>
      <w:r w:rsidRPr="00840DEC">
        <w:rPr>
          <w:rStyle w:val="FootnoteTextChar3"/>
          <w:rFonts w:ascii="Times" w:hAnsi="Times"/>
          <w:i/>
          <w:sz w:val="18"/>
          <w:szCs w:val="18"/>
        </w:rPr>
        <w:t>Haga</w:t>
      </w:r>
      <w:proofErr w:type="spellEnd"/>
      <w:r w:rsidRPr="00840DEC">
        <w:rPr>
          <w:rStyle w:val="FootnoteTextChar3"/>
          <w:rFonts w:ascii="Times" w:hAnsi="Times"/>
          <w:sz w:val="18"/>
          <w:szCs w:val="18"/>
        </w:rPr>
        <w:t xml:space="preserve">, especially in his evaluation of </w:t>
      </w:r>
      <w:proofErr w:type="spellStart"/>
      <w:r w:rsidRPr="00840DEC">
        <w:rPr>
          <w:rStyle w:val="FootnoteTextChar3"/>
          <w:rFonts w:ascii="Times" w:hAnsi="Times"/>
          <w:sz w:val="18"/>
          <w:szCs w:val="18"/>
        </w:rPr>
        <w:t>Milošević’s</w:t>
      </w:r>
      <w:proofErr w:type="spellEnd"/>
      <w:r w:rsidRPr="00840DEC">
        <w:rPr>
          <w:rStyle w:val="FootnoteTextChar3"/>
          <w:rFonts w:ascii="Times" w:hAnsi="Times"/>
          <w:sz w:val="18"/>
          <w:szCs w:val="18"/>
        </w:rPr>
        <w:t xml:space="preserve"> conduct at trial in The Hague, which </w:t>
      </w:r>
      <w:proofErr w:type="spellStart"/>
      <w:r w:rsidRPr="00840DEC">
        <w:rPr>
          <w:rStyle w:val="FootnoteTextChar3"/>
          <w:rFonts w:ascii="Times" w:hAnsi="Times"/>
          <w:sz w:val="18"/>
          <w:szCs w:val="18"/>
        </w:rPr>
        <w:t>Jović</w:t>
      </w:r>
      <w:proofErr w:type="spellEnd"/>
      <w:r w:rsidRPr="00840DEC">
        <w:rPr>
          <w:rStyle w:val="FootnoteTextChar3"/>
          <w:rFonts w:ascii="Times" w:hAnsi="Times"/>
          <w:sz w:val="18"/>
          <w:szCs w:val="18"/>
        </w:rPr>
        <w:t xml:space="preserve"> characterizes as a heroic defence of Serbia.</w:t>
      </w:r>
    </w:p>
  </w:footnote>
  <w:footnote w:id="85">
    <w:p w14:paraId="758EA770" w14:textId="2149C6AC" w:rsidR="00D435DA" w:rsidRPr="00840DEC" w:rsidRDefault="00D435DA" w:rsidP="00207C82">
      <w:pPr>
        <w:pStyle w:val="FootnoteText"/>
        <w:rPr>
          <w:rFonts w:ascii="Times" w:hAnsi="Times"/>
          <w:bCs/>
          <w:sz w:val="18"/>
          <w:szCs w:val="18"/>
          <w:lang w:val="en-US"/>
        </w:rPr>
      </w:pPr>
      <w:r w:rsidRPr="00840DEC">
        <w:rPr>
          <w:rStyle w:val="FootnoteReference"/>
          <w:rFonts w:ascii="Times" w:hAnsi="Times"/>
          <w:sz w:val="18"/>
          <w:szCs w:val="18"/>
        </w:rPr>
        <w:footnoteRef/>
      </w:r>
      <w:r w:rsidRPr="00840DEC">
        <w:rPr>
          <w:rFonts w:ascii="Times" w:hAnsi="Times"/>
          <w:sz w:val="18"/>
          <w:szCs w:val="18"/>
        </w:rPr>
        <w:t xml:space="preserve"> </w:t>
      </w:r>
      <w:proofErr w:type="spellStart"/>
      <w:r w:rsidRPr="00840DEC">
        <w:rPr>
          <w:rFonts w:ascii="Times" w:hAnsi="Times"/>
          <w:sz w:val="18"/>
          <w:szCs w:val="18"/>
          <w:lang w:val="en-US"/>
        </w:rPr>
        <w:t>Antonić</w:t>
      </w:r>
      <w:proofErr w:type="spellEnd"/>
      <w:r w:rsidRPr="00840DEC">
        <w:rPr>
          <w:rFonts w:ascii="Times" w:hAnsi="Times"/>
          <w:sz w:val="18"/>
          <w:szCs w:val="18"/>
          <w:lang w:val="en-US"/>
        </w:rPr>
        <w:t xml:space="preserve">, </w:t>
      </w:r>
      <w:proofErr w:type="gramStart"/>
      <w:r w:rsidRPr="00840DEC">
        <w:rPr>
          <w:rFonts w:ascii="Times" w:hAnsi="Times"/>
          <w:sz w:val="18"/>
          <w:szCs w:val="18"/>
          <w:lang w:val="en-US"/>
        </w:rPr>
        <w:t>ibid.</w:t>
      </w:r>
      <w:r w:rsidRPr="00840DEC">
        <w:rPr>
          <w:rFonts w:ascii="Times" w:hAnsi="Times"/>
          <w:i/>
          <w:sz w:val="18"/>
          <w:szCs w:val="18"/>
          <w:lang w:val="en-US"/>
        </w:rPr>
        <w:t>,</w:t>
      </w:r>
      <w:proofErr w:type="gramEnd"/>
      <w:r w:rsidRPr="00840DEC">
        <w:rPr>
          <w:rFonts w:ascii="Times" w:hAnsi="Times"/>
          <w:i/>
          <w:sz w:val="18"/>
          <w:szCs w:val="18"/>
          <w:lang w:val="en-US"/>
        </w:rPr>
        <w:t xml:space="preserve"> </w:t>
      </w:r>
      <w:r w:rsidRPr="00840DEC">
        <w:rPr>
          <w:rFonts w:ascii="Times" w:hAnsi="Times"/>
          <w:sz w:val="18"/>
          <w:szCs w:val="18"/>
          <w:lang w:val="en-US"/>
        </w:rPr>
        <w:t xml:space="preserve">p. 478. </w:t>
      </w:r>
      <w:r w:rsidRPr="00840DEC">
        <w:rPr>
          <w:rFonts w:ascii="Times" w:hAnsi="Times"/>
          <w:sz w:val="18"/>
          <w:szCs w:val="18"/>
        </w:rPr>
        <w:t xml:space="preserve">Some former admirers have referred to </w:t>
      </w:r>
      <w:proofErr w:type="spellStart"/>
      <w:r w:rsidRPr="00840DEC">
        <w:rPr>
          <w:rFonts w:ascii="Times" w:hAnsi="Times"/>
          <w:sz w:val="18"/>
          <w:szCs w:val="18"/>
        </w:rPr>
        <w:t>Milošević</w:t>
      </w:r>
      <w:proofErr w:type="spellEnd"/>
      <w:r w:rsidRPr="00840DEC">
        <w:rPr>
          <w:rFonts w:ascii="Times" w:hAnsi="Times"/>
          <w:sz w:val="18"/>
          <w:szCs w:val="18"/>
        </w:rPr>
        <w:t xml:space="preserve"> as no more than a “</w:t>
      </w:r>
      <w:proofErr w:type="spellStart"/>
      <w:r w:rsidRPr="00840DEC">
        <w:rPr>
          <w:rFonts w:ascii="Times" w:hAnsi="Times"/>
          <w:sz w:val="18"/>
          <w:szCs w:val="18"/>
        </w:rPr>
        <w:t>smalltime</w:t>
      </w:r>
      <w:proofErr w:type="spellEnd"/>
      <w:r w:rsidRPr="00840DEC">
        <w:rPr>
          <w:rFonts w:ascii="Times" w:hAnsi="Times"/>
          <w:sz w:val="18"/>
          <w:szCs w:val="18"/>
        </w:rPr>
        <w:t xml:space="preserve"> banker”.</w:t>
      </w:r>
      <w:r w:rsidRPr="00840DEC">
        <w:rPr>
          <w:rFonts w:ascii="Times" w:hAnsi="Times"/>
          <w:bCs/>
          <w:sz w:val="18"/>
          <w:szCs w:val="18"/>
          <w:lang w:val="en-US"/>
        </w:rPr>
        <w:t xml:space="preserve"> See “</w:t>
      </w:r>
      <w:proofErr w:type="spellStart"/>
      <w:r w:rsidRPr="00840DEC">
        <w:rPr>
          <w:rFonts w:ascii="Times" w:hAnsi="Times"/>
          <w:bCs/>
          <w:sz w:val="18"/>
          <w:szCs w:val="18"/>
          <w:lang w:val="en-US"/>
        </w:rPr>
        <w:t>Kusturica</w:t>
      </w:r>
      <w:proofErr w:type="spellEnd"/>
      <w:r w:rsidRPr="00840DEC">
        <w:rPr>
          <w:rFonts w:ascii="Times" w:hAnsi="Times"/>
          <w:bCs/>
          <w:sz w:val="18"/>
          <w:szCs w:val="18"/>
          <w:lang w:val="en-US"/>
        </w:rPr>
        <w:t xml:space="preserve">: </w:t>
      </w:r>
      <w:proofErr w:type="spellStart"/>
      <w:r w:rsidRPr="00840DEC">
        <w:rPr>
          <w:rFonts w:ascii="Times" w:hAnsi="Times"/>
          <w:bCs/>
          <w:sz w:val="18"/>
          <w:szCs w:val="18"/>
          <w:lang w:val="en-US"/>
        </w:rPr>
        <w:t>Milošević</w:t>
      </w:r>
      <w:proofErr w:type="spellEnd"/>
      <w:r w:rsidRPr="00840DEC">
        <w:rPr>
          <w:rFonts w:ascii="Times" w:hAnsi="Times"/>
          <w:bCs/>
          <w:sz w:val="18"/>
          <w:szCs w:val="18"/>
          <w:lang w:val="en-US"/>
        </w:rPr>
        <w:t xml:space="preserve"> je bio </w:t>
      </w:r>
      <w:proofErr w:type="spellStart"/>
      <w:r w:rsidRPr="00840DEC">
        <w:rPr>
          <w:rFonts w:ascii="Times" w:hAnsi="Times"/>
          <w:bCs/>
          <w:sz w:val="18"/>
          <w:szCs w:val="18"/>
          <w:lang w:val="en-US"/>
        </w:rPr>
        <w:t>mali</w:t>
      </w:r>
      <w:proofErr w:type="spellEnd"/>
      <w:r w:rsidRPr="00840DEC">
        <w:rPr>
          <w:rFonts w:ascii="Times" w:hAnsi="Times"/>
          <w:bCs/>
          <w:sz w:val="18"/>
          <w:szCs w:val="18"/>
          <w:lang w:val="en-US"/>
        </w:rPr>
        <w:t xml:space="preserve"> </w:t>
      </w:r>
      <w:proofErr w:type="spellStart"/>
      <w:r w:rsidRPr="00840DEC">
        <w:rPr>
          <w:rFonts w:ascii="Times" w:hAnsi="Times"/>
          <w:bCs/>
          <w:sz w:val="18"/>
          <w:szCs w:val="18"/>
          <w:lang w:val="en-US"/>
        </w:rPr>
        <w:t>bankar</w:t>
      </w:r>
      <w:proofErr w:type="spellEnd"/>
      <w:r w:rsidRPr="00840DEC">
        <w:rPr>
          <w:rFonts w:ascii="Times" w:hAnsi="Times"/>
          <w:bCs/>
          <w:sz w:val="18"/>
          <w:szCs w:val="18"/>
          <w:lang w:val="en-US"/>
        </w:rPr>
        <w:t xml:space="preserve">, a </w:t>
      </w:r>
      <w:proofErr w:type="spellStart"/>
      <w:r w:rsidRPr="00840DEC">
        <w:rPr>
          <w:rFonts w:ascii="Times" w:hAnsi="Times"/>
          <w:bCs/>
          <w:sz w:val="18"/>
          <w:szCs w:val="18"/>
          <w:lang w:val="en-US"/>
        </w:rPr>
        <w:t>ne</w:t>
      </w:r>
      <w:proofErr w:type="spellEnd"/>
      <w:r w:rsidRPr="00840DEC">
        <w:rPr>
          <w:rFonts w:ascii="Times" w:hAnsi="Times"/>
          <w:bCs/>
          <w:sz w:val="18"/>
          <w:szCs w:val="18"/>
          <w:lang w:val="en-US"/>
        </w:rPr>
        <w:t xml:space="preserve"> Hitler”,</w:t>
      </w:r>
      <w:r w:rsidRPr="00840DEC">
        <w:rPr>
          <w:rFonts w:ascii="Times" w:hAnsi="Times"/>
          <w:bCs/>
          <w:i/>
          <w:sz w:val="18"/>
          <w:szCs w:val="18"/>
          <w:lang w:val="en-US"/>
        </w:rPr>
        <w:t xml:space="preserve"> </w:t>
      </w:r>
      <w:proofErr w:type="spellStart"/>
      <w:r w:rsidRPr="00840DEC">
        <w:rPr>
          <w:rFonts w:ascii="Times" w:hAnsi="Times"/>
          <w:bCs/>
          <w:i/>
          <w:sz w:val="18"/>
          <w:szCs w:val="18"/>
          <w:lang w:val="en-US"/>
        </w:rPr>
        <w:t>Kurir</w:t>
      </w:r>
      <w:proofErr w:type="spellEnd"/>
      <w:r w:rsidRPr="00840DEC">
        <w:rPr>
          <w:rFonts w:ascii="Times" w:hAnsi="Times"/>
          <w:bCs/>
          <w:sz w:val="18"/>
          <w:szCs w:val="18"/>
          <w:lang w:val="en-US"/>
        </w:rPr>
        <w:t xml:space="preserve">, 19 August 2011, at: </w:t>
      </w:r>
      <w:r w:rsidRPr="00840DEC">
        <w:rPr>
          <w:rFonts w:ascii="Times" w:hAnsi="Times"/>
          <w:sz w:val="18"/>
          <w:szCs w:val="18"/>
        </w:rPr>
        <w:t xml:space="preserve">http://www.kurir-info.rs/kusturica-Milošević -je-bio-mali-bankar-a-ne-hitler-clanak-106097 </w:t>
      </w:r>
      <w:r w:rsidRPr="00840DEC">
        <w:rPr>
          <w:rFonts w:ascii="Times" w:hAnsi="Times"/>
          <w:sz w:val="18"/>
          <w:szCs w:val="18"/>
          <w:lang w:val="en-US"/>
        </w:rPr>
        <w:t>(</w:t>
      </w:r>
      <w:r w:rsidRPr="00840DEC">
        <w:rPr>
          <w:rFonts w:ascii="Times" w:hAnsi="Times"/>
          <w:sz w:val="18"/>
          <w:szCs w:val="18"/>
        </w:rPr>
        <w:t xml:space="preserve">accessed 20 September 2014). Also see M. </w:t>
      </w:r>
      <w:proofErr w:type="spellStart"/>
      <w:r w:rsidRPr="00840DEC">
        <w:rPr>
          <w:rFonts w:ascii="Times" w:hAnsi="Times"/>
          <w:sz w:val="18"/>
          <w:szCs w:val="18"/>
        </w:rPr>
        <w:t>Jovanović</w:t>
      </w:r>
      <w:proofErr w:type="spellEnd"/>
      <w:r w:rsidRPr="00840DEC">
        <w:rPr>
          <w:rFonts w:ascii="Times" w:hAnsi="Times"/>
          <w:sz w:val="18"/>
          <w:szCs w:val="18"/>
        </w:rPr>
        <w:t>, “</w:t>
      </w:r>
      <w:proofErr w:type="spellStart"/>
      <w:r w:rsidRPr="00840DEC">
        <w:rPr>
          <w:rFonts w:ascii="Times" w:hAnsi="Times"/>
          <w:sz w:val="18"/>
          <w:szCs w:val="18"/>
        </w:rPr>
        <w:t>Srećko</w:t>
      </w:r>
      <w:proofErr w:type="spellEnd"/>
      <w:r w:rsidRPr="00840DEC">
        <w:rPr>
          <w:rFonts w:ascii="Times" w:hAnsi="Times"/>
          <w:sz w:val="18"/>
          <w:szCs w:val="18"/>
        </w:rPr>
        <w:t xml:space="preserve"> </w:t>
      </w:r>
      <w:proofErr w:type="spellStart"/>
      <w:r w:rsidRPr="00840DEC">
        <w:rPr>
          <w:rFonts w:ascii="Times" w:hAnsi="Times"/>
          <w:sz w:val="18"/>
          <w:szCs w:val="18"/>
        </w:rPr>
        <w:t>Horvat</w:t>
      </w:r>
      <w:proofErr w:type="spellEnd"/>
      <w:r w:rsidRPr="00840DEC">
        <w:rPr>
          <w:rFonts w:ascii="Times" w:hAnsi="Times"/>
          <w:sz w:val="18"/>
          <w:szCs w:val="18"/>
        </w:rPr>
        <w:t xml:space="preserve">: </w:t>
      </w:r>
      <w:proofErr w:type="spellStart"/>
      <w:r w:rsidRPr="00840DEC">
        <w:rPr>
          <w:rFonts w:ascii="Times" w:hAnsi="Times"/>
          <w:sz w:val="18"/>
          <w:szCs w:val="18"/>
        </w:rPr>
        <w:t>intervju</w:t>
      </w:r>
      <w:proofErr w:type="spellEnd"/>
      <w:r w:rsidRPr="00840DEC">
        <w:rPr>
          <w:rFonts w:ascii="Times" w:hAnsi="Times"/>
          <w:sz w:val="18"/>
          <w:szCs w:val="18"/>
        </w:rPr>
        <w:t xml:space="preserve">”, </w:t>
      </w:r>
      <w:proofErr w:type="spellStart"/>
      <w:r w:rsidRPr="00840DEC">
        <w:rPr>
          <w:rFonts w:ascii="Times" w:hAnsi="Times"/>
          <w:i/>
          <w:sz w:val="18"/>
          <w:szCs w:val="18"/>
        </w:rPr>
        <w:t>Pe</w:t>
      </w:r>
      <w:proofErr w:type="spellEnd"/>
      <w:r w:rsidRPr="00840DEC">
        <w:rPr>
          <w:rFonts w:ascii="Times" w:hAnsi="Times"/>
          <w:i/>
          <w:sz w:val="18"/>
          <w:szCs w:val="18"/>
          <w:lang w:val="hr-HR"/>
        </w:rPr>
        <w:t>šćanik</w:t>
      </w:r>
      <w:r w:rsidRPr="00840DEC">
        <w:rPr>
          <w:rFonts w:ascii="Times" w:hAnsi="Times"/>
          <w:sz w:val="18"/>
          <w:szCs w:val="18"/>
          <w:lang w:val="hr-HR"/>
        </w:rPr>
        <w:t xml:space="preserve">, </w:t>
      </w:r>
      <w:r w:rsidRPr="00840DEC">
        <w:rPr>
          <w:rFonts w:ascii="Times" w:hAnsi="Times"/>
          <w:sz w:val="18"/>
          <w:szCs w:val="18"/>
        </w:rPr>
        <w:t xml:space="preserve">13 January 2014, at: </w:t>
      </w:r>
      <w:hyperlink r:id="rId12" w:history="1">
        <w:r w:rsidRPr="00840DEC">
          <w:rPr>
            <w:rStyle w:val="Hyperlink"/>
            <w:rFonts w:ascii="Times" w:hAnsi="Times"/>
            <w:sz w:val="18"/>
            <w:szCs w:val="18"/>
            <w:lang w:val="en-US"/>
          </w:rPr>
          <w:t>http</w:t>
        </w:r>
        <w:r w:rsidRPr="00840DEC">
          <w:rPr>
            <w:rStyle w:val="Hyperlink"/>
            <w:rFonts w:ascii="Times" w:hAnsi="Times"/>
            <w:bCs/>
            <w:sz w:val="18"/>
            <w:szCs w:val="18"/>
            <w:lang w:val="en-US"/>
          </w:rPr>
          <w:t>://pescanik.net/</w:t>
        </w:r>
      </w:hyperlink>
      <w:r w:rsidRPr="00840DEC">
        <w:rPr>
          <w:rFonts w:ascii="Times" w:hAnsi="Times"/>
          <w:bCs/>
          <w:sz w:val="18"/>
          <w:szCs w:val="18"/>
          <w:lang w:val="en-US"/>
        </w:rPr>
        <w:t>srecko-horvat-intervju/</w:t>
      </w:r>
      <w:r w:rsidRPr="00840DEC">
        <w:rPr>
          <w:rFonts w:ascii="Times" w:hAnsi="Times"/>
          <w:sz w:val="18"/>
          <w:szCs w:val="18"/>
          <w:lang w:val="hr-HR"/>
        </w:rPr>
        <w:t xml:space="preserve"> </w:t>
      </w:r>
      <w:r w:rsidRPr="00840DEC">
        <w:rPr>
          <w:rFonts w:ascii="Times" w:hAnsi="Times"/>
          <w:sz w:val="18"/>
          <w:szCs w:val="18"/>
          <w:lang w:val="en-US"/>
        </w:rPr>
        <w:t>(</w:t>
      </w:r>
      <w:r w:rsidRPr="00840DEC">
        <w:rPr>
          <w:rFonts w:ascii="Times" w:hAnsi="Times"/>
          <w:sz w:val="18"/>
          <w:szCs w:val="18"/>
        </w:rPr>
        <w:t>accessed 25 September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96"/>
    <w:rsid w:val="00017972"/>
    <w:rsid w:val="00045CFF"/>
    <w:rsid w:val="000466C0"/>
    <w:rsid w:val="00055E85"/>
    <w:rsid w:val="00072264"/>
    <w:rsid w:val="00084611"/>
    <w:rsid w:val="00092D26"/>
    <w:rsid w:val="00097564"/>
    <w:rsid w:val="000B6CF8"/>
    <w:rsid w:val="000C38DA"/>
    <w:rsid w:val="000D3DED"/>
    <w:rsid w:val="000D519A"/>
    <w:rsid w:val="000D6BAA"/>
    <w:rsid w:val="000F6D64"/>
    <w:rsid w:val="00100DE2"/>
    <w:rsid w:val="001057CF"/>
    <w:rsid w:val="00123182"/>
    <w:rsid w:val="00127DB1"/>
    <w:rsid w:val="00134292"/>
    <w:rsid w:val="001447E4"/>
    <w:rsid w:val="00152147"/>
    <w:rsid w:val="00154A49"/>
    <w:rsid w:val="001569EF"/>
    <w:rsid w:val="00184FB1"/>
    <w:rsid w:val="00185926"/>
    <w:rsid w:val="001908A7"/>
    <w:rsid w:val="001B07B1"/>
    <w:rsid w:val="001B3924"/>
    <w:rsid w:val="001C3E61"/>
    <w:rsid w:val="001C70B9"/>
    <w:rsid w:val="001C7EE3"/>
    <w:rsid w:val="001D148E"/>
    <w:rsid w:val="001D1E09"/>
    <w:rsid w:val="001D2980"/>
    <w:rsid w:val="001E4D30"/>
    <w:rsid w:val="001E75BD"/>
    <w:rsid w:val="001F34DA"/>
    <w:rsid w:val="0020596C"/>
    <w:rsid w:val="00207C82"/>
    <w:rsid w:val="0021558F"/>
    <w:rsid w:val="00233C8C"/>
    <w:rsid w:val="00240D80"/>
    <w:rsid w:val="00246EA7"/>
    <w:rsid w:val="00252797"/>
    <w:rsid w:val="00257162"/>
    <w:rsid w:val="00262F7E"/>
    <w:rsid w:val="002650E5"/>
    <w:rsid w:val="002948A0"/>
    <w:rsid w:val="00296761"/>
    <w:rsid w:val="002B08DE"/>
    <w:rsid w:val="002B5E24"/>
    <w:rsid w:val="002C13D8"/>
    <w:rsid w:val="002C4EFF"/>
    <w:rsid w:val="002E37D5"/>
    <w:rsid w:val="002E672F"/>
    <w:rsid w:val="002F1FC8"/>
    <w:rsid w:val="0030375F"/>
    <w:rsid w:val="00303AC5"/>
    <w:rsid w:val="00305862"/>
    <w:rsid w:val="00320364"/>
    <w:rsid w:val="00324167"/>
    <w:rsid w:val="00325295"/>
    <w:rsid w:val="00331606"/>
    <w:rsid w:val="003402BD"/>
    <w:rsid w:val="00347234"/>
    <w:rsid w:val="00351B22"/>
    <w:rsid w:val="0036124D"/>
    <w:rsid w:val="00364A05"/>
    <w:rsid w:val="00385BC3"/>
    <w:rsid w:val="003A5E82"/>
    <w:rsid w:val="003A6EE6"/>
    <w:rsid w:val="003C0473"/>
    <w:rsid w:val="003D3E80"/>
    <w:rsid w:val="003E0F4A"/>
    <w:rsid w:val="003F4AF0"/>
    <w:rsid w:val="0040767F"/>
    <w:rsid w:val="00410FAA"/>
    <w:rsid w:val="004154DF"/>
    <w:rsid w:val="004211A3"/>
    <w:rsid w:val="00422A24"/>
    <w:rsid w:val="00444AA9"/>
    <w:rsid w:val="00461C08"/>
    <w:rsid w:val="00463CA5"/>
    <w:rsid w:val="0047146F"/>
    <w:rsid w:val="004B188A"/>
    <w:rsid w:val="004C51B3"/>
    <w:rsid w:val="004F3959"/>
    <w:rsid w:val="004F4759"/>
    <w:rsid w:val="004F78C0"/>
    <w:rsid w:val="00507660"/>
    <w:rsid w:val="00510E7E"/>
    <w:rsid w:val="0051362E"/>
    <w:rsid w:val="00524706"/>
    <w:rsid w:val="005363AF"/>
    <w:rsid w:val="005503BF"/>
    <w:rsid w:val="005511DA"/>
    <w:rsid w:val="0057403B"/>
    <w:rsid w:val="005770FD"/>
    <w:rsid w:val="00580B7F"/>
    <w:rsid w:val="00582540"/>
    <w:rsid w:val="00587B2E"/>
    <w:rsid w:val="00595DA4"/>
    <w:rsid w:val="005B4AE8"/>
    <w:rsid w:val="005D18D4"/>
    <w:rsid w:val="005D1D2A"/>
    <w:rsid w:val="005D30E9"/>
    <w:rsid w:val="005D55E0"/>
    <w:rsid w:val="005D693B"/>
    <w:rsid w:val="005D7B22"/>
    <w:rsid w:val="005E5BC7"/>
    <w:rsid w:val="005F76B3"/>
    <w:rsid w:val="00601F62"/>
    <w:rsid w:val="006114DB"/>
    <w:rsid w:val="0061156A"/>
    <w:rsid w:val="00620807"/>
    <w:rsid w:val="006319C6"/>
    <w:rsid w:val="00634ACA"/>
    <w:rsid w:val="00640840"/>
    <w:rsid w:val="00642843"/>
    <w:rsid w:val="00642D68"/>
    <w:rsid w:val="00663760"/>
    <w:rsid w:val="00675054"/>
    <w:rsid w:val="006758F4"/>
    <w:rsid w:val="00675E61"/>
    <w:rsid w:val="00685C08"/>
    <w:rsid w:val="00687CB8"/>
    <w:rsid w:val="006A54C4"/>
    <w:rsid w:val="006B3D59"/>
    <w:rsid w:val="006B48F5"/>
    <w:rsid w:val="006C5100"/>
    <w:rsid w:val="006D43E7"/>
    <w:rsid w:val="006E4136"/>
    <w:rsid w:val="00705523"/>
    <w:rsid w:val="00710B7B"/>
    <w:rsid w:val="00713D5A"/>
    <w:rsid w:val="00715184"/>
    <w:rsid w:val="007246AA"/>
    <w:rsid w:val="00773970"/>
    <w:rsid w:val="007810E7"/>
    <w:rsid w:val="0079400D"/>
    <w:rsid w:val="007941B3"/>
    <w:rsid w:val="0079478C"/>
    <w:rsid w:val="00796FF7"/>
    <w:rsid w:val="007A0FC1"/>
    <w:rsid w:val="007C2AAC"/>
    <w:rsid w:val="007C5AC2"/>
    <w:rsid w:val="007C6A7D"/>
    <w:rsid w:val="007C6D63"/>
    <w:rsid w:val="007D0739"/>
    <w:rsid w:val="007D6DBE"/>
    <w:rsid w:val="007F4791"/>
    <w:rsid w:val="008035AA"/>
    <w:rsid w:val="00804397"/>
    <w:rsid w:val="00806E59"/>
    <w:rsid w:val="00806F9C"/>
    <w:rsid w:val="008139EF"/>
    <w:rsid w:val="008155BD"/>
    <w:rsid w:val="00830E7F"/>
    <w:rsid w:val="00832C8D"/>
    <w:rsid w:val="00840DEC"/>
    <w:rsid w:val="00855A17"/>
    <w:rsid w:val="00860749"/>
    <w:rsid w:val="00873D45"/>
    <w:rsid w:val="008A51B1"/>
    <w:rsid w:val="008B071A"/>
    <w:rsid w:val="008B20D7"/>
    <w:rsid w:val="008B3CE1"/>
    <w:rsid w:val="008D1196"/>
    <w:rsid w:val="008E0431"/>
    <w:rsid w:val="008E150B"/>
    <w:rsid w:val="008F55E6"/>
    <w:rsid w:val="009058B6"/>
    <w:rsid w:val="009257DA"/>
    <w:rsid w:val="0092605F"/>
    <w:rsid w:val="009322AB"/>
    <w:rsid w:val="009474FC"/>
    <w:rsid w:val="00972136"/>
    <w:rsid w:val="0097363F"/>
    <w:rsid w:val="009A7D1E"/>
    <w:rsid w:val="009B0C4B"/>
    <w:rsid w:val="009B45FF"/>
    <w:rsid w:val="009C7FA9"/>
    <w:rsid w:val="009E1765"/>
    <w:rsid w:val="009E5D42"/>
    <w:rsid w:val="009F48C2"/>
    <w:rsid w:val="009F67EF"/>
    <w:rsid w:val="009F6C05"/>
    <w:rsid w:val="00A04322"/>
    <w:rsid w:val="00A0572A"/>
    <w:rsid w:val="00A22320"/>
    <w:rsid w:val="00A276F6"/>
    <w:rsid w:val="00A34EE3"/>
    <w:rsid w:val="00A56753"/>
    <w:rsid w:val="00A56F36"/>
    <w:rsid w:val="00A84F3C"/>
    <w:rsid w:val="00A9165D"/>
    <w:rsid w:val="00A94C73"/>
    <w:rsid w:val="00AC3EFA"/>
    <w:rsid w:val="00AE1773"/>
    <w:rsid w:val="00AF3B69"/>
    <w:rsid w:val="00B1099B"/>
    <w:rsid w:val="00B13D64"/>
    <w:rsid w:val="00B1619E"/>
    <w:rsid w:val="00B431EB"/>
    <w:rsid w:val="00B55B28"/>
    <w:rsid w:val="00B60DDE"/>
    <w:rsid w:val="00B6792E"/>
    <w:rsid w:val="00B9682B"/>
    <w:rsid w:val="00BB4079"/>
    <w:rsid w:val="00BB6DB9"/>
    <w:rsid w:val="00BC2227"/>
    <w:rsid w:val="00BD0385"/>
    <w:rsid w:val="00BE2CAA"/>
    <w:rsid w:val="00BE3B28"/>
    <w:rsid w:val="00BF3AE8"/>
    <w:rsid w:val="00C02DE3"/>
    <w:rsid w:val="00C14C96"/>
    <w:rsid w:val="00C20AD5"/>
    <w:rsid w:val="00C3274A"/>
    <w:rsid w:val="00C35BFB"/>
    <w:rsid w:val="00C562F7"/>
    <w:rsid w:val="00C5675C"/>
    <w:rsid w:val="00C66330"/>
    <w:rsid w:val="00C80E96"/>
    <w:rsid w:val="00C96CA0"/>
    <w:rsid w:val="00CC04C2"/>
    <w:rsid w:val="00CC1447"/>
    <w:rsid w:val="00CD56A3"/>
    <w:rsid w:val="00CE64F6"/>
    <w:rsid w:val="00CE6F9F"/>
    <w:rsid w:val="00CE74C8"/>
    <w:rsid w:val="00CF3102"/>
    <w:rsid w:val="00CF61AA"/>
    <w:rsid w:val="00D309DD"/>
    <w:rsid w:val="00D435DA"/>
    <w:rsid w:val="00D53807"/>
    <w:rsid w:val="00D7763E"/>
    <w:rsid w:val="00D84AE6"/>
    <w:rsid w:val="00D90341"/>
    <w:rsid w:val="00D92927"/>
    <w:rsid w:val="00D937CE"/>
    <w:rsid w:val="00D977F2"/>
    <w:rsid w:val="00DA5034"/>
    <w:rsid w:val="00DB7789"/>
    <w:rsid w:val="00DC23FF"/>
    <w:rsid w:val="00DC7799"/>
    <w:rsid w:val="00DD0380"/>
    <w:rsid w:val="00DE764E"/>
    <w:rsid w:val="00DF1735"/>
    <w:rsid w:val="00DF7441"/>
    <w:rsid w:val="00DF7BF3"/>
    <w:rsid w:val="00E064BF"/>
    <w:rsid w:val="00E069F1"/>
    <w:rsid w:val="00E07326"/>
    <w:rsid w:val="00E10C3B"/>
    <w:rsid w:val="00E1147E"/>
    <w:rsid w:val="00E23EA1"/>
    <w:rsid w:val="00E3418B"/>
    <w:rsid w:val="00E45EC5"/>
    <w:rsid w:val="00E47D62"/>
    <w:rsid w:val="00E623BE"/>
    <w:rsid w:val="00E72B2B"/>
    <w:rsid w:val="00E7340F"/>
    <w:rsid w:val="00EA21F7"/>
    <w:rsid w:val="00EA64F1"/>
    <w:rsid w:val="00EC0B27"/>
    <w:rsid w:val="00EC39ED"/>
    <w:rsid w:val="00EC5288"/>
    <w:rsid w:val="00ED279D"/>
    <w:rsid w:val="00EE2DC2"/>
    <w:rsid w:val="00EF3742"/>
    <w:rsid w:val="00F13A4A"/>
    <w:rsid w:val="00F165FC"/>
    <w:rsid w:val="00F208CE"/>
    <w:rsid w:val="00F26DF9"/>
    <w:rsid w:val="00F449CC"/>
    <w:rsid w:val="00F51050"/>
    <w:rsid w:val="00F676ED"/>
    <w:rsid w:val="00F73527"/>
    <w:rsid w:val="00F90108"/>
    <w:rsid w:val="00F90B88"/>
    <w:rsid w:val="00FA02AF"/>
    <w:rsid w:val="00FA1F37"/>
    <w:rsid w:val="00FB77B6"/>
    <w:rsid w:val="00FE2740"/>
    <w:rsid w:val="00FF0286"/>
    <w:rsid w:val="00F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AD311"/>
  <w14:defaultImageDpi w14:val="300"/>
  <w15:docId w15:val="{5119D2A6-AC24-4AF0-80A9-04211ACD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99"/>
    <w:qFormat/>
    <w:rsid w:val="00C80E96"/>
    <w:pPr>
      <w:spacing w:before="120" w:after="240" w:line="360" w:lineRule="auto"/>
      <w:jc w:val="both"/>
    </w:pPr>
    <w:rPr>
      <w:rFonts w:ascii="Times New Roman" w:eastAsia="Times New Roman" w:hAnsi="Times New Roman" w:cs="Times New Roman"/>
      <w:lang w:val="nl-NL" w:eastAsia="ja-JP"/>
    </w:rPr>
  </w:style>
  <w:style w:type="character" w:customStyle="1" w:styleId="ParagraphChar">
    <w:name w:val="Paragraph Char"/>
    <w:basedOn w:val="DefaultParagraphFont"/>
    <w:link w:val="Paragraph"/>
    <w:uiPriority w:val="99"/>
    <w:locked/>
    <w:rsid w:val="00C80E96"/>
    <w:rPr>
      <w:rFonts w:ascii="Times New Roman" w:eastAsia="Times New Roman" w:hAnsi="Times New Roman" w:cs="Times New Roman"/>
      <w:lang w:val="nl-NL" w:eastAsia="ja-JP"/>
    </w:rPr>
  </w:style>
  <w:style w:type="paragraph" w:styleId="FootnoteText">
    <w:name w:val="footnote text"/>
    <w:aliases w:val="Footnotes,Footnote Text Char Char Char Char,Footnote Text Char Char,Footnote Text Char Char Char Char Char Char,Footnote Text Char Char Char,FA,FA Fußnotentext,Footnote Text Char Char Char Char1,Footnote Text Char1,FA1,FA2,FA3"/>
    <w:basedOn w:val="Normal"/>
    <w:link w:val="FootnoteTextChar"/>
    <w:uiPriority w:val="99"/>
    <w:rsid w:val="00C80E96"/>
    <w:rPr>
      <w:rFonts w:ascii="Times New Roman" w:eastAsia="MS ??" w:hAnsi="Times New Roman" w:cs="Times New Roman"/>
      <w:sz w:val="16"/>
      <w:szCs w:val="20"/>
      <w:lang w:val="en-GB"/>
    </w:rPr>
  </w:style>
  <w:style w:type="character" w:customStyle="1" w:styleId="FootnoteTextChar">
    <w:name w:val="Footnote Text Char"/>
    <w:aliases w:val="Footnotes Char,Footnote Text Char Char Char Char Char,Footnote Text Char Char Char1,Footnote Text Char Char Char Char Char Char Char,Footnote Text Char Char Char Char2,FA Char,FA Fußnotentext Char,Footnote Text Char1 Char,FA1 Char"/>
    <w:basedOn w:val="DefaultParagraphFont"/>
    <w:link w:val="FootnoteText"/>
    <w:uiPriority w:val="99"/>
    <w:rsid w:val="00C80E96"/>
    <w:rPr>
      <w:rFonts w:ascii="Times New Roman" w:eastAsia="MS ??" w:hAnsi="Times New Roman" w:cs="Times New Roman"/>
      <w:sz w:val="16"/>
      <w:szCs w:val="20"/>
      <w:lang w:val="en-GB"/>
    </w:rPr>
  </w:style>
  <w:style w:type="character" w:styleId="FootnoteReference">
    <w:name w:val="footnote reference"/>
    <w:aliases w:val="Appel note de bas de page"/>
    <w:basedOn w:val="DefaultParagraphFont"/>
    <w:uiPriority w:val="99"/>
    <w:rsid w:val="00C80E96"/>
    <w:rPr>
      <w:rFonts w:cs="Times New Roman"/>
      <w:vertAlign w:val="superscript"/>
    </w:rPr>
  </w:style>
  <w:style w:type="paragraph" w:styleId="Footer">
    <w:name w:val="footer"/>
    <w:basedOn w:val="Normal"/>
    <w:link w:val="FooterChar"/>
    <w:uiPriority w:val="99"/>
    <w:rsid w:val="00C80E96"/>
    <w:pPr>
      <w:tabs>
        <w:tab w:val="center" w:pos="4680"/>
        <w:tab w:val="right" w:pos="9360"/>
      </w:tabs>
    </w:pPr>
    <w:rPr>
      <w:rFonts w:ascii="Times New Roman" w:eastAsia="MS ??" w:hAnsi="Times New Roman" w:cs="Times New Roman"/>
      <w:sz w:val="20"/>
      <w:szCs w:val="20"/>
      <w:lang w:val="en-GB"/>
    </w:rPr>
  </w:style>
  <w:style w:type="character" w:customStyle="1" w:styleId="FooterChar">
    <w:name w:val="Footer Char"/>
    <w:basedOn w:val="DefaultParagraphFont"/>
    <w:link w:val="Footer"/>
    <w:uiPriority w:val="99"/>
    <w:rsid w:val="00C80E96"/>
    <w:rPr>
      <w:rFonts w:ascii="Times New Roman" w:eastAsia="MS ??" w:hAnsi="Times New Roman" w:cs="Times New Roman"/>
      <w:sz w:val="20"/>
      <w:szCs w:val="20"/>
      <w:lang w:val="en-GB"/>
    </w:rPr>
  </w:style>
  <w:style w:type="character" w:customStyle="1" w:styleId="FootnoteTextChar3">
    <w:name w:val="Footnote Text Char3"/>
    <w:aliases w:val="Footnotes Char1,Footnote Text Char Char Char Char Char1,Footnote Text Char Char2,Footnote Text Char Char Char2,Footnote Text Char Char Char Char Char Char Char1,Footnote Text Char Char Char Char3,FA Char1,FA Fußnotentext Char1"/>
    <w:uiPriority w:val="99"/>
    <w:rsid w:val="00C80E96"/>
    <w:rPr>
      <w:rFonts w:ascii="Times New Roman" w:hAnsi="Times New Roman"/>
      <w:lang w:val="en-GB"/>
    </w:rPr>
  </w:style>
  <w:style w:type="paragraph" w:customStyle="1" w:styleId="NT-Normal">
    <w:name w:val="NT-Normal"/>
    <w:basedOn w:val="Normal"/>
    <w:uiPriority w:val="99"/>
    <w:rsid w:val="00C80E96"/>
    <w:pPr>
      <w:spacing w:before="240" w:line="360" w:lineRule="auto"/>
      <w:jc w:val="both"/>
    </w:pPr>
    <w:rPr>
      <w:rFonts w:ascii="TimesPP" w:eastAsia="MS ??" w:hAnsi="TimesPP" w:cs="TimesPP"/>
      <w:color w:val="000000"/>
      <w:lang w:eastAsia="ja-JP"/>
    </w:rPr>
  </w:style>
  <w:style w:type="character" w:styleId="Hyperlink">
    <w:name w:val="Hyperlink"/>
    <w:basedOn w:val="DefaultParagraphFont"/>
    <w:rsid w:val="00C80E96"/>
    <w:rPr>
      <w:rFonts w:ascii="Times New Roman" w:hAnsi="Times New Roman" w:cs="Times New Roman"/>
      <w:color w:val="0000FF"/>
      <w:u w:val="single"/>
    </w:rPr>
  </w:style>
  <w:style w:type="paragraph" w:customStyle="1" w:styleId="NFootnotes">
    <w:name w:val="N Footnotes"/>
    <w:basedOn w:val="FootnoteText"/>
    <w:link w:val="NFootnotesChar"/>
    <w:rsid w:val="00C80E96"/>
  </w:style>
  <w:style w:type="character" w:customStyle="1" w:styleId="NFootnotesChar">
    <w:name w:val="N Footnotes Char"/>
    <w:link w:val="NFootnotes"/>
    <w:locked/>
    <w:rsid w:val="00C80E96"/>
    <w:rPr>
      <w:rFonts w:ascii="Times New Roman" w:eastAsia="MS ??" w:hAnsi="Times New Roman" w:cs="Times New Roman"/>
      <w:sz w:val="16"/>
      <w:szCs w:val="20"/>
      <w:lang w:val="en-GB"/>
    </w:rPr>
  </w:style>
  <w:style w:type="paragraph" w:customStyle="1" w:styleId="NT-Footnote">
    <w:name w:val="NT-Footnote"/>
    <w:basedOn w:val="FootnoteText"/>
    <w:next w:val="Normal"/>
    <w:uiPriority w:val="99"/>
    <w:rsid w:val="00C80E96"/>
    <w:pPr>
      <w:tabs>
        <w:tab w:val="left" w:pos="993"/>
        <w:tab w:val="left" w:pos="1134"/>
        <w:tab w:val="left" w:pos="1276"/>
      </w:tabs>
    </w:pPr>
    <w:rPr>
      <w:rFonts w:ascii="TimesPP" w:hAnsi="TimesPP" w:cs="TimesPP"/>
      <w:szCs w:val="16"/>
    </w:rPr>
  </w:style>
  <w:style w:type="character" w:styleId="Emphasis">
    <w:name w:val="Emphasis"/>
    <w:basedOn w:val="DefaultParagraphFont"/>
    <w:uiPriority w:val="20"/>
    <w:qFormat/>
    <w:rsid w:val="00C80E96"/>
    <w:rPr>
      <w:i/>
      <w:iCs/>
    </w:rPr>
  </w:style>
  <w:style w:type="paragraph" w:styleId="BalloonText">
    <w:name w:val="Balloon Text"/>
    <w:basedOn w:val="Normal"/>
    <w:link w:val="BalloonTextChar"/>
    <w:uiPriority w:val="99"/>
    <w:semiHidden/>
    <w:unhideWhenUsed/>
    <w:rsid w:val="00832C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2C8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60749"/>
    <w:rPr>
      <w:sz w:val="18"/>
      <w:szCs w:val="18"/>
    </w:rPr>
  </w:style>
  <w:style w:type="paragraph" w:styleId="CommentText">
    <w:name w:val="annotation text"/>
    <w:basedOn w:val="Normal"/>
    <w:link w:val="CommentTextChar"/>
    <w:uiPriority w:val="99"/>
    <w:semiHidden/>
    <w:unhideWhenUsed/>
    <w:rsid w:val="00860749"/>
  </w:style>
  <w:style w:type="character" w:customStyle="1" w:styleId="CommentTextChar">
    <w:name w:val="Comment Text Char"/>
    <w:basedOn w:val="DefaultParagraphFont"/>
    <w:link w:val="CommentText"/>
    <w:uiPriority w:val="99"/>
    <w:semiHidden/>
    <w:rsid w:val="00860749"/>
  </w:style>
  <w:style w:type="paragraph" w:styleId="CommentSubject">
    <w:name w:val="annotation subject"/>
    <w:basedOn w:val="CommentText"/>
    <w:next w:val="CommentText"/>
    <w:link w:val="CommentSubjectChar"/>
    <w:uiPriority w:val="99"/>
    <w:semiHidden/>
    <w:unhideWhenUsed/>
    <w:rsid w:val="00860749"/>
    <w:rPr>
      <w:b/>
      <w:bCs/>
      <w:sz w:val="20"/>
      <w:szCs w:val="20"/>
    </w:rPr>
  </w:style>
  <w:style w:type="character" w:customStyle="1" w:styleId="CommentSubjectChar">
    <w:name w:val="Comment Subject Char"/>
    <w:basedOn w:val="CommentTextChar"/>
    <w:link w:val="CommentSubject"/>
    <w:uiPriority w:val="99"/>
    <w:semiHidden/>
    <w:rsid w:val="00860749"/>
    <w:rPr>
      <w:b/>
      <w:bCs/>
      <w:sz w:val="20"/>
      <w:szCs w:val="20"/>
    </w:rPr>
  </w:style>
  <w:style w:type="paragraph" w:styleId="Revision">
    <w:name w:val="Revision"/>
    <w:hidden/>
    <w:uiPriority w:val="99"/>
    <w:semiHidden/>
    <w:rsid w:val="00582540"/>
  </w:style>
  <w:style w:type="character" w:styleId="FollowedHyperlink">
    <w:name w:val="FollowedHyperlink"/>
    <w:basedOn w:val="DefaultParagraphFont"/>
    <w:uiPriority w:val="99"/>
    <w:semiHidden/>
    <w:unhideWhenUsed/>
    <w:rsid w:val="00642843"/>
    <w:rPr>
      <w:color w:val="800080" w:themeColor="followedHyperlink"/>
      <w:u w:val="single"/>
    </w:rPr>
  </w:style>
  <w:style w:type="paragraph" w:customStyle="1" w:styleId="Naslov3111">
    <w:name w:val="Naslov 3.1.1.1"/>
    <w:basedOn w:val="Normal"/>
    <w:link w:val="Naslov3111Char"/>
    <w:qFormat/>
    <w:rsid w:val="00BE3B28"/>
    <w:pPr>
      <w:spacing w:after="120" w:line="360" w:lineRule="auto"/>
      <w:jc w:val="both"/>
      <w:outlineLvl w:val="0"/>
    </w:pPr>
    <w:rPr>
      <w:rFonts w:ascii="Times New Roman" w:eastAsia="Times New Roman" w:hAnsi="Times New Roman" w:cs="Times New Roman"/>
      <w:i/>
      <w:sz w:val="16"/>
      <w:szCs w:val="16"/>
      <w:lang w:val="en-GB" w:eastAsia="ja-JP"/>
    </w:rPr>
  </w:style>
  <w:style w:type="character" w:customStyle="1" w:styleId="Naslov3111Char">
    <w:name w:val="Naslov 3.1.1.1 Char"/>
    <w:basedOn w:val="DefaultParagraphFont"/>
    <w:link w:val="Naslov3111"/>
    <w:locked/>
    <w:rsid w:val="00BE3B28"/>
    <w:rPr>
      <w:rFonts w:ascii="Times New Roman" w:eastAsia="Times New Roman" w:hAnsi="Times New Roman" w:cs="Times New Roman"/>
      <w:i/>
      <w:sz w:val="16"/>
      <w:szCs w:val="16"/>
      <w:lang w:val="en-GB" w:eastAsia="ja-JP"/>
    </w:rPr>
  </w:style>
  <w:style w:type="paragraph" w:customStyle="1" w:styleId="NTCitati">
    <w:name w:val="NT Citati"/>
    <w:basedOn w:val="Normal"/>
    <w:link w:val="NTCitatiChar"/>
    <w:autoRedefine/>
    <w:uiPriority w:val="99"/>
    <w:rsid w:val="00444AA9"/>
    <w:pPr>
      <w:tabs>
        <w:tab w:val="left" w:pos="8647"/>
        <w:tab w:val="left" w:pos="9356"/>
      </w:tabs>
      <w:ind w:left="706" w:right="605"/>
      <w:jc w:val="both"/>
    </w:pPr>
    <w:rPr>
      <w:rFonts w:ascii="Times New Roman" w:eastAsia="Times New Roman" w:hAnsi="Times New Roman" w:cs="Times New Roman"/>
      <w:sz w:val="22"/>
      <w:szCs w:val="22"/>
      <w:lang w:val="en-GB" w:eastAsia="ja-JP"/>
    </w:rPr>
  </w:style>
  <w:style w:type="character" w:customStyle="1" w:styleId="NTCitatiChar">
    <w:name w:val="NT Citati Char"/>
    <w:basedOn w:val="DefaultParagraphFont"/>
    <w:link w:val="NTCitati"/>
    <w:uiPriority w:val="99"/>
    <w:locked/>
    <w:rsid w:val="00444AA9"/>
    <w:rPr>
      <w:rFonts w:ascii="Times New Roman" w:eastAsia="Times New Roman" w:hAnsi="Times New Roman" w:cs="Times New Roman"/>
      <w:sz w:val="22"/>
      <w:szCs w:val="22"/>
      <w:lang w:val="en-GB" w:eastAsia="ja-JP"/>
    </w:rPr>
  </w:style>
  <w:style w:type="paragraph" w:customStyle="1" w:styleId="Citati">
    <w:name w:val="Citati"/>
    <w:basedOn w:val="BodyText3"/>
    <w:link w:val="CitatiChar"/>
    <w:qFormat/>
    <w:rsid w:val="003402BD"/>
    <w:pPr>
      <w:spacing w:before="240" w:after="240" w:line="360" w:lineRule="auto"/>
      <w:ind w:left="709" w:right="709"/>
      <w:jc w:val="both"/>
    </w:pPr>
    <w:rPr>
      <w:rFonts w:ascii="Times New Roman" w:eastAsia="MS ??" w:hAnsi="Times New Roman" w:cs="Times New Roman"/>
      <w:sz w:val="20"/>
      <w:szCs w:val="20"/>
      <w:lang w:eastAsia="ja-JP"/>
    </w:rPr>
  </w:style>
  <w:style w:type="character" w:customStyle="1" w:styleId="CitatiChar">
    <w:name w:val="Citati Char"/>
    <w:link w:val="Citati"/>
    <w:locked/>
    <w:rsid w:val="003402BD"/>
    <w:rPr>
      <w:rFonts w:ascii="Times New Roman" w:eastAsia="MS ??" w:hAnsi="Times New Roman" w:cs="Times New Roman"/>
      <w:sz w:val="20"/>
      <w:szCs w:val="20"/>
      <w:lang w:eastAsia="ja-JP"/>
    </w:rPr>
  </w:style>
  <w:style w:type="paragraph" w:styleId="BodyText3">
    <w:name w:val="Body Text 3"/>
    <w:basedOn w:val="Normal"/>
    <w:link w:val="BodyText3Char"/>
    <w:uiPriority w:val="99"/>
    <w:semiHidden/>
    <w:unhideWhenUsed/>
    <w:rsid w:val="003402BD"/>
    <w:pPr>
      <w:spacing w:after="120"/>
    </w:pPr>
    <w:rPr>
      <w:sz w:val="16"/>
      <w:szCs w:val="16"/>
    </w:rPr>
  </w:style>
  <w:style w:type="character" w:customStyle="1" w:styleId="BodyText3Char">
    <w:name w:val="Body Text 3 Char"/>
    <w:basedOn w:val="DefaultParagraphFont"/>
    <w:link w:val="BodyText3"/>
    <w:uiPriority w:val="99"/>
    <w:semiHidden/>
    <w:rsid w:val="003402BD"/>
    <w:rPr>
      <w:sz w:val="16"/>
      <w:szCs w:val="16"/>
    </w:rPr>
  </w:style>
  <w:style w:type="character" w:customStyle="1" w:styleId="apple-converted-space">
    <w:name w:val="apple-converted-space"/>
    <w:basedOn w:val="DefaultParagraphFont"/>
    <w:rsid w:val="00EA21F7"/>
  </w:style>
  <w:style w:type="paragraph" w:styleId="NormalWeb">
    <w:name w:val="Normal (Web)"/>
    <w:basedOn w:val="Normal"/>
    <w:uiPriority w:val="99"/>
    <w:unhideWhenUsed/>
    <w:rsid w:val="00B1619E"/>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51362E"/>
    <w:rPr>
      <w:b/>
      <w:bCs/>
    </w:rPr>
  </w:style>
  <w:style w:type="character" w:styleId="PageNumber">
    <w:name w:val="page number"/>
    <w:basedOn w:val="DefaultParagraphFont"/>
    <w:uiPriority w:val="99"/>
    <w:semiHidden/>
    <w:unhideWhenUsed/>
    <w:rsid w:val="00D4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25">
      <w:bodyDiv w:val="1"/>
      <w:marLeft w:val="0"/>
      <w:marRight w:val="0"/>
      <w:marTop w:val="0"/>
      <w:marBottom w:val="0"/>
      <w:divBdr>
        <w:top w:val="none" w:sz="0" w:space="0" w:color="auto"/>
        <w:left w:val="none" w:sz="0" w:space="0" w:color="auto"/>
        <w:bottom w:val="none" w:sz="0" w:space="0" w:color="auto"/>
        <w:right w:val="none" w:sz="0" w:space="0" w:color="auto"/>
      </w:divBdr>
      <w:divsChild>
        <w:div w:id="1788235835">
          <w:marLeft w:val="0"/>
          <w:marRight w:val="0"/>
          <w:marTop w:val="0"/>
          <w:marBottom w:val="0"/>
          <w:divBdr>
            <w:top w:val="none" w:sz="0" w:space="0" w:color="auto"/>
            <w:left w:val="none" w:sz="0" w:space="0" w:color="auto"/>
            <w:bottom w:val="none" w:sz="0" w:space="0" w:color="auto"/>
            <w:right w:val="none" w:sz="0" w:space="0" w:color="auto"/>
          </w:divBdr>
        </w:div>
        <w:div w:id="2102873824">
          <w:marLeft w:val="0"/>
          <w:marRight w:val="0"/>
          <w:marTop w:val="0"/>
          <w:marBottom w:val="0"/>
          <w:divBdr>
            <w:top w:val="none" w:sz="0" w:space="0" w:color="auto"/>
            <w:left w:val="none" w:sz="0" w:space="0" w:color="auto"/>
            <w:bottom w:val="none" w:sz="0" w:space="0" w:color="auto"/>
            <w:right w:val="none" w:sz="0" w:space="0" w:color="auto"/>
          </w:divBdr>
        </w:div>
        <w:div w:id="1711427">
          <w:marLeft w:val="0"/>
          <w:marRight w:val="0"/>
          <w:marTop w:val="0"/>
          <w:marBottom w:val="0"/>
          <w:divBdr>
            <w:top w:val="none" w:sz="0" w:space="0" w:color="auto"/>
            <w:left w:val="none" w:sz="0" w:space="0" w:color="auto"/>
            <w:bottom w:val="none" w:sz="0" w:space="0" w:color="auto"/>
            <w:right w:val="none" w:sz="0" w:space="0" w:color="auto"/>
          </w:divBdr>
        </w:div>
        <w:div w:id="801384441">
          <w:marLeft w:val="0"/>
          <w:marRight w:val="0"/>
          <w:marTop w:val="0"/>
          <w:marBottom w:val="0"/>
          <w:divBdr>
            <w:top w:val="none" w:sz="0" w:space="0" w:color="auto"/>
            <w:left w:val="none" w:sz="0" w:space="0" w:color="auto"/>
            <w:bottom w:val="none" w:sz="0" w:space="0" w:color="auto"/>
            <w:right w:val="none" w:sz="0" w:space="0" w:color="auto"/>
          </w:divBdr>
        </w:div>
      </w:divsChild>
    </w:div>
    <w:div w:id="822503448">
      <w:bodyDiv w:val="1"/>
      <w:marLeft w:val="0"/>
      <w:marRight w:val="0"/>
      <w:marTop w:val="0"/>
      <w:marBottom w:val="0"/>
      <w:divBdr>
        <w:top w:val="none" w:sz="0" w:space="0" w:color="auto"/>
        <w:left w:val="none" w:sz="0" w:space="0" w:color="auto"/>
        <w:bottom w:val="none" w:sz="0" w:space="0" w:color="auto"/>
        <w:right w:val="none" w:sz="0" w:space="0" w:color="auto"/>
      </w:divBdr>
      <w:divsChild>
        <w:div w:id="1576089248">
          <w:marLeft w:val="0"/>
          <w:marRight w:val="0"/>
          <w:marTop w:val="0"/>
          <w:marBottom w:val="0"/>
          <w:divBdr>
            <w:top w:val="none" w:sz="0" w:space="0" w:color="auto"/>
            <w:left w:val="none" w:sz="0" w:space="0" w:color="auto"/>
            <w:bottom w:val="none" w:sz="0" w:space="0" w:color="auto"/>
            <w:right w:val="none" w:sz="0" w:space="0" w:color="auto"/>
          </w:divBdr>
          <w:divsChild>
            <w:div w:id="2105027062">
              <w:marLeft w:val="0"/>
              <w:marRight w:val="0"/>
              <w:marTop w:val="0"/>
              <w:marBottom w:val="0"/>
              <w:divBdr>
                <w:top w:val="none" w:sz="0" w:space="0" w:color="auto"/>
                <w:left w:val="none" w:sz="0" w:space="0" w:color="auto"/>
                <w:bottom w:val="none" w:sz="0" w:space="0" w:color="auto"/>
                <w:right w:val="none" w:sz="0" w:space="0" w:color="auto"/>
              </w:divBdr>
              <w:divsChild>
                <w:div w:id="971864246">
                  <w:marLeft w:val="0"/>
                  <w:marRight w:val="0"/>
                  <w:marTop w:val="0"/>
                  <w:marBottom w:val="0"/>
                  <w:divBdr>
                    <w:top w:val="none" w:sz="0" w:space="0" w:color="auto"/>
                    <w:left w:val="none" w:sz="0" w:space="0" w:color="auto"/>
                    <w:bottom w:val="none" w:sz="0" w:space="0" w:color="auto"/>
                    <w:right w:val="none" w:sz="0" w:space="0" w:color="auto"/>
                  </w:divBdr>
                  <w:divsChild>
                    <w:div w:id="16208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98648">
      <w:bodyDiv w:val="1"/>
      <w:marLeft w:val="0"/>
      <w:marRight w:val="0"/>
      <w:marTop w:val="0"/>
      <w:marBottom w:val="0"/>
      <w:divBdr>
        <w:top w:val="none" w:sz="0" w:space="0" w:color="auto"/>
        <w:left w:val="none" w:sz="0" w:space="0" w:color="auto"/>
        <w:bottom w:val="none" w:sz="0" w:space="0" w:color="auto"/>
        <w:right w:val="none" w:sz="0" w:space="0" w:color="auto"/>
      </w:divBdr>
    </w:div>
    <w:div w:id="1452360463">
      <w:bodyDiv w:val="1"/>
      <w:marLeft w:val="0"/>
      <w:marRight w:val="0"/>
      <w:marTop w:val="0"/>
      <w:marBottom w:val="0"/>
      <w:divBdr>
        <w:top w:val="none" w:sz="0" w:space="0" w:color="auto"/>
        <w:left w:val="none" w:sz="0" w:space="0" w:color="auto"/>
        <w:bottom w:val="none" w:sz="0" w:space="0" w:color="auto"/>
        <w:right w:val="none" w:sz="0" w:space="0" w:color="auto"/>
      </w:divBdr>
      <w:divsChild>
        <w:div w:id="1235968749">
          <w:marLeft w:val="0"/>
          <w:marRight w:val="0"/>
          <w:marTop w:val="0"/>
          <w:marBottom w:val="0"/>
          <w:divBdr>
            <w:top w:val="none" w:sz="0" w:space="0" w:color="auto"/>
            <w:left w:val="none" w:sz="0" w:space="0" w:color="auto"/>
            <w:bottom w:val="none" w:sz="0" w:space="0" w:color="auto"/>
            <w:right w:val="none" w:sz="0" w:space="0" w:color="auto"/>
          </w:divBdr>
          <w:divsChild>
            <w:div w:id="1338844264">
              <w:marLeft w:val="0"/>
              <w:marRight w:val="0"/>
              <w:marTop w:val="0"/>
              <w:marBottom w:val="0"/>
              <w:divBdr>
                <w:top w:val="none" w:sz="0" w:space="0" w:color="auto"/>
                <w:left w:val="none" w:sz="0" w:space="0" w:color="auto"/>
                <w:bottom w:val="none" w:sz="0" w:space="0" w:color="auto"/>
                <w:right w:val="none" w:sz="0" w:space="0" w:color="auto"/>
              </w:divBdr>
              <w:divsChild>
                <w:div w:id="5125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Genocide_Convention" TargetMode="External"/><Relationship Id="rId3" Type="http://schemas.openxmlformats.org/officeDocument/2006/relationships/hyperlink" Target="http://www.slobodnabosna.ba/vijest/46585/zasto_se_ivica_dachic_plasi_revizije_presude_prochitajte_tekst_sefa_srbijanske_diplomacije_koji_je_koristen_kao_dokaz_protiv_milosevica.html" TargetMode="External"/><Relationship Id="rId7" Type="http://schemas.openxmlformats.org/officeDocument/2006/relationships/hyperlink" Target="http://www.icty.org/x/cases/perisic/acjug/en/130228_summary.pdf" TargetMode="External"/><Relationship Id="rId12" Type="http://schemas.openxmlformats.org/officeDocument/2006/relationships/hyperlink" Target="http://pescanik.net/" TargetMode="External"/><Relationship Id="rId2" Type="http://schemas.openxmlformats.org/officeDocument/2006/relationships/hyperlink" Target="http://novi.ba/clanak/88814/nevenka-tromp-zlocinac-a-ne-heroj-i" TargetMode="External"/><Relationship Id="rId1" Type="http://schemas.openxmlformats.org/officeDocument/2006/relationships/hyperlink" Target="http://www.icty.org/x/cases/milutinovic/tjug/en/jud090226-e1of4.pdf" TargetMode="External"/><Relationship Id="rId6" Type="http://schemas.openxmlformats.org/officeDocument/2006/relationships/hyperlink" Target="http://www.icty.org/x/cases/perisic/acjug/en/130228_judgement.pdf" TargetMode="External"/><Relationship Id="rId11" Type="http://schemas.openxmlformats.org/officeDocument/2006/relationships/hyperlink" Target="https://www.slobodnaevropa.org/a/hodzic-revizija-posljedice/28328830.html" TargetMode="External"/><Relationship Id="rId5" Type="http://schemas.openxmlformats.org/officeDocument/2006/relationships/hyperlink" Target="http://bportal.ba/foto-zasto-se-mali-sloba-boji-revizije-ovako-je-dacic-nekada-crtao-karte-velike-srbije/" TargetMode="External"/><Relationship Id="rId10" Type="http://schemas.openxmlformats.org/officeDocument/2006/relationships/hyperlink" Target="https://www.slobodnaevropa.org/a/revizija-bih--politicka-kriza-/28327543.html" TargetMode="External"/><Relationship Id="rId4" Type="http://schemas.openxmlformats.org/officeDocument/2006/relationships/hyperlink" Target="http://www.direktno24h.com/pogledajte-zasto-se-mali-sloba-boji-revizije-ovako-je-dacic-nekada-crtao-krvave-karte-velike-srbije/" TargetMode="External"/><Relationship Id="rId9" Type="http://schemas.openxmlformats.org/officeDocument/2006/relationships/hyperlink" Target="http://en.wikipedia.org/wiki/IC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39D704-4DDC-4FB6-97C9-0B5A0172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8405</Words>
  <Characters>47912</Characters>
  <Application>Microsoft Office Word</Application>
  <DocSecurity>0</DocSecurity>
  <Lines>399</Lines>
  <Paragraphs>112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Tromp</dc:creator>
  <cp:keywords/>
  <dc:description/>
  <cp:lastModifiedBy>Sonja</cp:lastModifiedBy>
  <cp:revision>3</cp:revision>
  <cp:lastPrinted>2018-10-29T10:12:00Z</cp:lastPrinted>
  <dcterms:created xsi:type="dcterms:W3CDTF">2018-11-27T09:10:00Z</dcterms:created>
  <dcterms:modified xsi:type="dcterms:W3CDTF">2018-11-27T09:10:00Z</dcterms:modified>
</cp:coreProperties>
</file>